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415 vom 17. Mai 2018</w:t>
      </w:r>
    </w:p>
    <w:p>
      <w:r>
        <w:t>VD Tribunal cantonal, 2018-05-17, FR</w:t>
      </w:r>
    </w:p>
    <w:p>
      <w:r>
        <w:rPr>
          <w:b/>
        </w:rPr>
        <w:t xml:space="preserve">Quelle: </w:t>
      </w:r>
      <w:r>
        <w:t>https://mcp.opencaselaw.ch/entscheid/vd_findinfo_Arr_t___2018___415</w:t>
      </w:r>
    </w:p>
    <w:p>
      <w:r>
        <w:t>FR: VD_FINDINFO Arrêt / 2018 / 415 du 17 mai 2018</w:t>
      </w:r>
    </w:p>
    <w:p>
      <w:r>
        <w:t>IT: VD_FINDINFO Arrêt / 2018 / 415 del 17 maggio 2018</w:t>
      </w:r>
    </w:p>
    <w:p>
      <w:pPr>
        <w:pStyle w:val="Heading2"/>
      </w:pPr>
      <w:r>
        <w:t>Regeste</w:t>
      </w:r>
    </w:p>
    <w:p>
      <w:r>
        <w:t>RESTITUTION{EN GÉNÉRAL}, PÉREMPTION, PRINCIPE DE LA BONNE FOI, ACTIVITÉ ACCESSOIRE, GAIN INTERMÉDIAIRE | 9 Cst., 23 al. 3 LACI, 24 LACI, 95 al. 1 LACI, 25 LPGA, 41a al. 1 OACI</w:t>
      </w:r>
    </w:p>
    <w:p>
      <w:pPr>
        <w:pStyle w:val="Heading2"/>
      </w:pPr>
      <w:r>
        <w:t>Erwägungen</w:t>
      </w:r>
    </w:p>
    <w:p>
      <w:r>
        <w:rPr>
          <w:b/>
        </w:rPr>
        <w:t>E. 1</w:t>
      </w:r>
    </w:p>
    <w:p>
      <w:r>
        <w:t>LPGA). En l'occurrence, le recours a été interjeté dans le délai imparti par la loi (compte tenu des féries pascales, cf. art. 38 al. 4 let. a LPGA)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De valeur litigieuse inférieure à 30'000 fr., la cause doit être tranchée par un membre de la Cour statuant en tant que juge unique (art. 93 al. 1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point de savoir si l’intimée était fondée, par sa décision sur opposition du 6 avril 2017, à réclamer la restitution d’une partie des prestations d’assurance-chômage allouées à la recourante entre les mois de novembre 2013 et mars 2015. Singulièrement, il s’agit d’examiner en premier lieu si le droit de l’intimée de demander la restitution est atteint de péremption. Il convient ensuite de déterminer si les revenus générés par l’activité de conciergerie pour le compte de la P.________ représentent des gains accessoires ou des gains intermédiaires, le calcul du montant de l’indemnisation s’opérant différemment selon la qualification des revenus concernés.</w:t>
      </w:r>
    </w:p>
    <w:p>
      <w:r>
        <w:rPr>
          <w:b/>
        </w:rPr>
        <w:t>E. 3</w:t>
      </w:r>
    </w:p>
    <w:p>
      <w:r>
        <w:t>a) Selon l'art. 25 al. 1 LPGA (RS 830.1), auquel renvoie l'art. 95 al. 1 LACI, les prestations indûment touchées doivent être restituées (première phrase). Selon la jurisprudence, cela implique que soient réunies les conditions d’une reconsidération (cf. art. 53 al. 2 LPGA) ou d’une révision procédurale (art. 53 al. 1 LPGA) de la décision par laquelle les prestations ont été accordées ( ATF 138 V 426  consid. 5.2.1, 130 V 318 consid. 5.2. et les références ; TF8C_75/2016 du 14 janvier 2016, consid. 2.2).  Ce principe s’applique également lorsque les prestations à restituer n’ont pas été allouées par une décision formelle mais par une décision traitée selon la procédure simplifiée prévue par l’art. 51 LPGA, comme c’est le cas en l’espèce s’agissant des décomptes d’indemnités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Boris Rubin, Commentaire de la loi sur l’assurance-chômage, Schulthess 2014, n o 16 ad art. 95, p. 162). En ce qui concerne plus particulièrement la révision, l’obligation de restitution des prestations indûment touchées et son étendue dans le temps ne sont pas liées à une violation de l’obligation de renseigner (ATF 122 V 134 consid. 2e, TF 8C_689/2016 du 5 juillet 2017 consid. 3.1).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w:t>
      </w:r>
    </w:p>
    <w:p>
      <w:r>
        <w:rPr>
          <w:b/>
        </w:rPr>
        <w:t>E. 3.1</w:t>
      </w:r>
    </w:p>
    <w:p>
      <w:r>
        <w:t>et les références ; TF 8C_689/2016 précité, consid. 6.1). Quant à la bonne foi au sens de l’art. 25 LPGA, telle qu’également invoquée par la recourante, elle constitue une des conditions de la remise de l’obligation de restituer des prestations indûment versées. Elle n’est donc pas litigieuse à ce stade, la présente cause ne portant pas sur cette question. Elle devra être examinée lors d’une éventuelle demande de remise, qu’il appartiendra à l’assurée de déposer, si elle le souhaite. 8. En l’occurrence, les faits pertinents ayant pu être constatés à satisfaction de droit, le dossier est suffisamment complet pour permettre à la Cour de statuer en pleine connaissance de cause. Il n’y a pas lieu de donner suite à la mesure d’instruction complémentaire requise par la recourante, à savoir l’audition de sa conseillère ORP. Une telle mesure d’instruction ne serait en effet pas de nature à modifier les considérations qui précèdent (appréciation anticipée des preuves ; ATF 122 II 464 consid. 4a ; TF 8C_361/2009 du 3 mars 2010 consid. 3.2 et les références citées).</w:t>
      </w:r>
    </w:p>
    <w:p>
      <w:r>
        <w:rPr>
          <w:b/>
        </w:rPr>
        <w:t>E. 4</w:t>
      </w:r>
    </w:p>
    <w:p>
      <w:r>
        <w:t>non publié in ATF 139 V 106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 TF 8C_968/2012 du 18 novembre 2013 consid. 2.2). b) La recourante soutient que le droit de l’intimée de lui réclamer le remboursement de prestations est périmé, dès lors que le délai relatif d’un an aurait commencé à courir dès l’ouverture de son délai-cadre d’indemnisation, en novembre 2013, lorsqu’elle a informé sa conseillère ORP du fait qu’elle exerçait l’activité litigieuse de concierge. Ainsi, toujours selon la recourante, en exigeant la restitution des prestations litigieuses le 4 avril 2016, l’intimée aurait agi tardivement. Cet argument ne convainc toutefois pas. En effet, l’examen du dossier produit par l’ORP, en particulier les procès-verbaux établis par la conseillère de l’assurée lors de chaque entretien de conseil et de contrôle, n’a pas permis de constater que l’assurée aurait informé sa conseillère de son activité pour le compte de la P.________ en novembre 2013. La première mention de cette activité figure au procès-verbal de l’entretien du 6 octobre 2015, qui contient le passage suivant : « DE [demandeuse d’emploi] nous informe qu’elle a un contrat depuis juin pour la conciergerie de son immeuble par la P.________. Lui demandons de nous transmettre une copie ». Puis, au procès-verbal de l’entretien du 6 janvier 2016, la conseillère a indiqué « Rappelons à DE qu’elle ne nous a pas transmis le contrat pour la conciergerie ». Le 8 janvier 2016, ledit contrat, daté du 24 juin 2013 et prévoyant une entrée en service le 1 er juillet 2013, est parvenu à l’ORP. De son côté, la recourante ne fournit aucun élément qui permettrait de retenir que le dossier de l’ORP serait lacunaire et qu’elle aurait bel et bien informé sa conseillère de l’activité litigieuse dès le début de son suivi à l’ORP. On remarquera à cet égard que dans sa première lettre à la caisse, le 2 mars 2016, l’assurée a seulement indiqué que sa conseillère était au courant de son activité, ce qui était le cas à ce moment-là, mais n’a pas soutenu qu’elle l’avait d’emblée mise au courant, depuis plus d’un an. En définitive, aucun élément au dossier ne permet de retenir comme établi au degré de la vraisemblance prépondérante prévalant en assurances sociales (ATF 126 V 360 consid. 5b ; 130 III 324 consid. 3.2 et 3.3) que l’ORP a été informé de l’activité litigieuse avant octobre 2015. On ignore si et quand l’ORP a informé la caisse de l’existence de cette activité ; toujours est-il qu’en exigeant la restitution des indemnités indues par décision du 4 avril 2016, après s’être enquise auprès de l’employeur pour obtenir les informations nécessaires au calcul de la prestation à restituer, et octroyé à l’assurée le droit d’être entendue, la caisse n’a pas agi au-delà du délai d’un an dès la connaissance des faits ayant fondé sa demande de restitution. Il ne peut ainsi être retenu que son droit d’exiger la restitution d’éventuelles prestations indument versées était frappé de péremption. L’assurée ne peut pas non plus se prévaloir d’avoir satisfait à son obligation d’annoncer son revenu du simple fait que son employeur a déclaré les salaires versés à la caisse de compensation AVS. En effet, dans le cadre de l’assurance-chômage, l’obligation d’annoncer les revenus réalisés durant des périodes de contrôle appartient à l’assuré, bénéficiaire des prestations, et il prévaut à l’égard de la caisse de chômage, compétente pour le calcul du droit à l’indemnité, par le biais du formulaire IPA, que tout assuré reçoit chaque mois. Le fait que la caisse AVS ait connaissance des revenus concernés n’est pas déterminant. C’est d’ailleurs fréquemment ensuite de la consultation des comptes de la caisse AVS lors de contrôle effectués par le SECO, autorité de surveillance en matière d’assurance-chômage, que les caisses de chômage prennent connaissance des activités lucratives qui ne leur ont pas été annoncés par les assurés. (cf. notamment TF 8C_689/2016 du 5 juillet 2017). Ainsi, l’annonce de revenus par un employeur à la caisse de compensation AVS ne saurait valoir annonce d’une activité lucrative par l’assuré à la caisse de chômage.</w:t>
      </w:r>
    </w:p>
    <w:p>
      <w:r>
        <w:rPr>
          <w:b/>
        </w:rPr>
        <w:t>E. 5</w:t>
      </w:r>
    </w:p>
    <w:p>
      <w:r>
        <w:t>Pour qu’une restitution s’impose, encore faut-il que l’assurée ait bénéficié de prestations auxquelles elle n’avait pas droit. Il convient dès lors d’examiner si la caisse l’a indemnisée sur la base d’une constatation erronée des faits déterminants et/ou en violation des normes juridiques applicables. Se pose singulièrement la question de savoir si le revenu réalisé auprès de la P.________ constitue un gain intermédiaire au sens de l’art. 24 LACI, ou au contraire un gain accessoire selon l’art. 23 a. 3 LACI. a )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 professionnels et locaux ; les gains accessoires ne sont pas pris en considération (art. 24 al. 3 LACI). b)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délai-cadre de cotisation ne suffit pas à en faire une activité accessoire. Il faut encore qu’il y ait en parallèle une activité principale exercée dans le cadre d’un contrat de travail (DTA 2008 p. 154 ; Boris Rubin op. cit., n o</w:t>
      </w:r>
    </w:p>
    <w:p>
      <w:r>
        <w:rPr>
          <w:b/>
        </w:rPr>
        <w:t>E. 9</w:t>
      </w:r>
    </w:p>
    <w:p>
      <w:r>
        <w:t>En conclusion, le recours doit être rejeté et la décision sur opposition entreprise confirmée. Il n’y a pas lieu de percevoir de frais judiciaires, la procédure étant gratuite (art. 61 let. a LPGA), ni d’allouer de dépens, dès lors que la recourante  n’obtient pas gain de cause (art. 61 let. g LPGA). Par ces motifs, la juge unique prononce : I. Le recours déposé par M.________ le 22 mai 2017 est rejeté. II. La décision sur opposition rendue par la Caisse cantonale de chômage le 6 avril 2017 est confirmée. III. Il n’est pas perçu de frais de justice ni alloué de dépens. La juge unique :               La greffière : Du L'arrêt qui précède est notifié à : ‑ Me Christophe Misteli (pour la recourante),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