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407 vom 6. Juni 2018</w:t>
      </w:r>
    </w:p>
    <w:p>
      <w:r>
        <w:t>VD Tribunal cantonal, 2018-06-06, FR</w:t>
      </w:r>
    </w:p>
    <w:p>
      <w:r>
        <w:rPr>
          <w:b/>
        </w:rPr>
        <w:t xml:space="preserve">Quelle: </w:t>
      </w:r>
      <w:r>
        <w:t>https://mcp.opencaselaw.ch/entscheid/vd_findinfo_Arr_t___2018___407</w:t>
      </w:r>
    </w:p>
    <w:p>
      <w:r>
        <w:t>FR: VD_FINDINFO Arrêt / 2018 / 407 du 6 juin 2018</w:t>
      </w:r>
    </w:p>
    <w:p>
      <w:r>
        <w:t>IT: VD_FINDINFO Arrêt / 2018 / 407 del 6 giugno 2018</w:t>
      </w:r>
    </w:p>
    <w:p>
      <w:pPr>
        <w:pStyle w:val="Heading2"/>
      </w:pPr>
      <w:r>
        <w:t>Regeste</w:t>
      </w:r>
    </w:p>
    <w:p>
      <w:r>
        <w:t>COMPARAISON DES REVENUS, REVENU D'INVALIDE, ADMISSION DE LA DEMANDE, AGGRAVATION DE L'ATTEINTE À LA SANTÉ, ATTEINTE À LA SANTÉ PHYSIQUE, ATTEINTE À LA SANTÉ PSYCHIQUE, RÉDUCTION{EN GÉNÉRAL}, DEMI-RENTE | 28 LAI, 4 al. 1 LAI, 16 LPGA, 6 LPGA, 7 al. 1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Sur le vu de ce qui précède, il y a lieu d’admettre le recours et de réformer la décision attaquée, en ce sens que C.________ a droit à une demi-rente de l’assurance-invalidité depuis le 1 er août 2013.</w:t>
      </w:r>
    </w:p>
    <w:p>
      <w:r>
        <w:rPr>
          <w:b/>
        </w:rPr>
        <w:t>E. 7</w:t>
      </w:r>
    </w:p>
    <w:p>
      <w:r>
        <w:t>Ayant procédé par l’intermédiaire d’un avocat du Service juridique de Procap, qui peut se voir accorder des dépens, la recourante, qui obtient gain de cause, a droit à une indemnité de dépens qu’il convient, compte tenu de l’importance et de la complexité du litige, de fixer à 2'000 fr. à la charge de l’office intimé (art. 61 let. g LPGA, 55 LPA-VD et 11 al. 2 TFJDA [tarif cantonal vaudois du 28 avril 2015 des frais judiciaires et des dépens en matière administrative ; RSV 173.36.5.1]), lequel, débouté, supportera les frais de la cause, arrêtés à 400 fr. (art. 69 al.1 bis 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