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334 vom 7. Mai 2018</w:t>
      </w:r>
    </w:p>
    <w:p>
      <w:r>
        <w:t>VD Tribunal cantonal, 2018-05-07, FR</w:t>
      </w:r>
    </w:p>
    <w:p>
      <w:r>
        <w:rPr>
          <w:b/>
        </w:rPr>
        <w:t xml:space="preserve">Quelle: </w:t>
      </w:r>
      <w:r>
        <w:t>https://mcp.opencaselaw.ch/entscheid/vd_findinfo_Arr_t___2018___334</w:t>
      </w:r>
    </w:p>
    <w:p>
      <w:r>
        <w:t>FR: VD_FINDINFO Arrêt / 2018 / 334 du 7 mai 2018</w:t>
      </w:r>
    </w:p>
    <w:p>
      <w:r>
        <w:t>IT: VD_FINDINFO Arrêt / 2018 / 334 del 7 maggio 2018</w:t>
      </w:r>
    </w:p>
    <w:p>
      <w:pPr>
        <w:pStyle w:val="Heading2"/>
      </w:pPr>
      <w:r>
        <w:t>Regeste</w:t>
      </w:r>
    </w:p>
    <w:p>
      <w:r>
        <w:t>MESURE PROVISIONNELLE, DROIT DE DÉTERMINER LE LIEU DE RÉSIDENCE, PLACEMENT D'ENFANTS, EXPERTISE PSYCHIATRIQUE | 307 CC, 314 CC, 445 CC, 188 al. 2 CPC (CH)</w:t>
      </w:r>
    </w:p>
    <w:p>
      <w:pPr>
        <w:pStyle w:val="Heading2"/>
      </w:pPr>
      <w:r>
        <w:t>Erwägungen</w:t>
      </w:r>
    </w:p>
    <w:p>
      <w:r>
        <w:rPr>
          <w:b/>
        </w:rPr>
        <w:t>E. 1</w:t>
      </w:r>
    </w:p>
    <w:p>
      <w:r>
        <w:t>Le recours est dirigé contre une ordonnance de mesures provisionnelles de la justice de paix refusant d’ordonner une deuxième expertise pédopsychiatrique concernant une enfant mineure, dans le cadre d’une procédure de retrait du droit de déterminer son lieu de résidence.</w:t>
      </w:r>
    </w:p>
    <w:p>
      <w:r>
        <w:rPr>
          <w:b/>
        </w:rPr>
        <w:t>E. 1.2</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RSV 272]). Selon les situations, le recours sera par conséquent de nature réformatoire ou cassatoire (Guide pratique COPMA, op. cit., n. 5.84, p. 182). L’art. 446 al. 1 CC, applicable par renvoi de l’art. 314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1.3</w:t>
      </w:r>
    </w:p>
    <w:p>
      <w:r>
        <w:t>En l’espèce, motivé et interjeté en temps utile par le père de la mineure concernée, partie à la procédure, le présent recours est recevable. Il en va de même des pièces produites en deuxième instance, si tant est qu’elles ne figurent pas déjà au dossier.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L’audition de l’enfant par l’autorité de protection de l’enfant est réglée à l’art. 314a CC. Cette norme concrétise les droits découlant des art. 29 al. 2 Cst. (Constitution fédérale de la Confédération suisse du 18 avril 1999 ; RS 101), 6 ch. 1 CEDH (Convention européenne des droits de l’homme du 4 novembre 1950 ; RS 0.101) et 12 CDE (Convention du 20 novembre 1989 relative aux droits de l’enfant ; RS 0.107). L’audition de l’enfant découle de la protection de sa personnalité et permet d’établir les faits. Les enfants peuvent en principe être auditionnés dès l’âge de six ans révolus (TF 5A_354/2015 du 3 août 2015). Selon les circonstances concrètes du cas d’espèce, il est possible d’entendre un enfant plus jeune notamment lorsqu’il s’agit du membre le plus jeune d’une fratrie qui presque atteint l’âge limite (cf. not. ATF 131 III 53). Les enfants plus âgés, capables de discernement, exercent un droit de la personnalité propre. L’audition des enfants plus jeunes constitue un moyen de preuve. Il est possible de renoncer à l’audition de l’enfant de manière répétée lorsque cela entraînerait une charge inutile pour lui, par exemple en cas de conflit de loyauté important, alors que cela n’amènerait pas de nouvel élément. Dès lors, il suffit que l’enfant soit entendu une seule fois au cours de la procédure (instances de recours incluses). Toutefois, le fait de renoncer à une nouvelle audition de l’enfant suppose que ce dernier ait été interrogé sur les points déterminants et que le résultat de l’audition soit encore actuel (sur le tout TF 5A_457/2017 du 4 décembre 2017 consid. 4.1.1). En l’espèce, la justice de paix a procédé aux auditions des parents et de la curatrice, assistante sociale auprès de l’ORPM de l’Ouest, le 20 septembre 2017. Elle n’a pas entendu l’enfant, qui est à présent âgée de sept ans et demi. Toutefois, l’enfant a été entendue à plusieurs reprises dans le cadre de la procédure pénale et la présente procédure en protection, y compris par les experts, et sa situation et son développement ont été évalués et retracés par le SPJ ainsi que par la curatrice de représentation, de sorte qu’une nouvelle audition de l’enfant n’apporterait rien de plus, sinon de raviver potentiellement le conflit de loyauté.</w:t>
      </w:r>
    </w:p>
    <w:p>
      <w:r>
        <w:rPr>
          <w:b/>
        </w:rPr>
        <w:t>E. 2.3</w:t>
      </w:r>
    </w:p>
    <w:p>
      <w:r>
        <w:t>La décision ayant été rendue conformément aux règles de procédure applicables, la cause peut être examinée sur le fond.</w:t>
      </w:r>
    </w:p>
    <w:p>
      <w:r>
        <w:rPr>
          <w:b/>
        </w:rPr>
        <w:t>E. 3.1</w:t>
      </w:r>
    </w:p>
    <w:p>
      <w:r>
        <w:t>V.________ fait valoir que l’expertise pédopsychiatrique du 31 mars 2017 est valable et que si les conclusions auxquelles elle aboutit ne sont pas satisfaisantes, ce n’est pas un motif d’en ordonner une nouvelle. Il relève également la sévérité de l’appréciation de l’expert sur la situation de l’enfant et l’urgence à intervenir pour préserver notamment le potentiel cognitif de B.C.________, le processus d’apprentissage étant prioritaire à cet âge. Il pointe aussi le fait que la décision attaquée ne repose que sur les déclarations du conseil de la mère faites à l’audience du 20 septembre 2017, le témoignage écrit de la grand-mère maternelle sur la bonne intégration sociale de l’enfant au village et la curatelle en cours, estimant qu’elle fait fi des conclusions de l’expertise pourtant univoques et étayées. Il relève aussi que le SPJ s’en est remis à l’expertise du 31 mars 2017. Enfin, il observe surtout que la décision entreprise ne tient pas compte de l’urgence de la situation et ce alors même que les experts ont été clairs sur la nécessité d’agir sans attendre pour préserver le développement déjà compromis de l’enfant.</w:t>
      </w:r>
    </w:p>
    <w:p>
      <w:r>
        <w:rPr>
          <w:b/>
        </w:rPr>
        <w:t>E. 3.2.1</w:t>
      </w:r>
    </w:p>
    <w:p>
      <w:r>
        <w:t>Les conclusions d’une expertise lient en principe le juge lorsque l’expertise a été correctement conduite et que le rapport apparaît complet, logique et exempt de contradictions, le juge devant motiver son appréciation lorsqu’il s’en écarte (cf. TF 5A_485/2012 du 11 septembre 2012 consid. 4.1 ; ATF 110 Ib 42 consid. 2 ; ATF 101 Ib 405 consid. 3b/aa ; Schweizer, CPC commenté, 2011, n. 19 ad art. 157 CPC). En vertu de l’art. 188 al. 2 CPC (applicable par renvoi de l’art. 450f CC),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3.3.1</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Droit de la filiation, 5 e éd., 2014,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En effet, il faut d'ailleurs mentionner que la mise en danger de l'enfant ne doit pas nécessairement découler de maltraitances physiques et qu'une faute puisse être imputée aux parents, ou non, est sans pertinence (TF 5A_238/2010 du 11 juin 2010). Il convient d'être restrictif dans l'appréciation des circonstances, un retrait n'étant envisageable que si d'autres mesures ont été vouées à l'échec ou apparaissent d'emblée insuffisantes (TF 5A 238/2010 du 11 juin 2010 consid. 4, publié in La pratique du droit de la famille [FamPra.ch] 2010, p. 713). L'intérêt de l'enfant est ainsi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Il p. 84), ce qui implique qu'elles doivent correspondre au degré du danger que court l'enfant ; il s’agit de restreindre l'autorité parentale aussi peu que possible mais autant que nécessaire et de n'intervenir que si les parents ne remédient pas eux-mêmes à la situation ou sont hors d'état de le faire ; les mesures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5A_621/2014 du 11 novembre 2014 consid. 8.1).</w:t>
      </w:r>
    </w:p>
    <w:p>
      <w:r>
        <w:rPr>
          <w:b/>
        </w:rPr>
        <w:t>E. 3.3.2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CCUR 13 février 2014/30 et les références citées).</w:t>
      </w:r>
    </w:p>
    <w:p>
      <w:r>
        <w:rPr>
          <w:b/>
        </w:rPr>
        <w:t>E. 3.4</w:t>
      </w:r>
    </w:p>
    <w:p>
      <w:r>
        <w:t>En l’espèce, ainsi que cela résulte du rapport du SPJ, la situation de l’enfant a favorablement évolué depuis le dépôt de l’expertise du mois de mars 2017. B.C.________ a un lien de confiance avec la pédopsychiatre qu’elle rencontre une fois par semaine et la thérapeute ne s’inquiète pas pour la prise en charge de l’enfant par sa mère, qui est collaborante et bénéficie également d’un suivi psychothérapeutique. En outre, la thérapeute relève que la situation de l’enfant s’est stabilisée au point que les conclusions de l’expertise, qui privilégiaient la solution d’un placement d’urgence en foyer, ne seraient plus d’actualité. L’assistant social [...], qui a rencontré la mère et l’enfant récemment, constate aussi que la mère dispose désormais des outils pour cadrer sa fille et que, bien qu’encore fragile, elle est capable de distinguer les besoins de son enfant et parvient à se faire écouter de B.C.________ qui cherche toujours à négocier, mais arrive à écouter sa mère et à surmonter sa frustration. Au vu des améliorations constatées et du fait qu’il y a lieu d’éviter à l’enfant des bouleversements intempestifs au stade des mesures provisionnelles s’ils ne paraissent pas nécessaires à prévenir une mise en danger, il apparait qu’un placement de B.C.________ en foyer ne serait pas adéquat ni proportionné dès lors qu’il pourrait lui être préjudiciable, notamment perturber son équilibre et contrarier l’évolution favorable observée depuis un an. Cela étant, au vu de l’expertise déposée le 31 mars 2017, particulièrement sévère quant à l’appréciation des compétences maternelles et de la situation de l’enfant qui, il y a un peu plus d’un an, était décrite comme étant préoccupante, il convient de mener une seconde expertise afin de faire le point sur les compétences parentales et éducatives, en particulier déterminer à long terme le mode de prise en charge le plus conforme à l’intérêt de l’enfant.</w:t>
      </w:r>
    </w:p>
    <w:p>
      <w:r>
        <w:rPr>
          <w:b/>
        </w:rPr>
        <w:t>E. 4.1</w:t>
      </w:r>
    </w:p>
    <w:p>
      <w:r>
        <w:t>En conclusion, le recours doit être rejeté et l’ordonnance confirmée.</w:t>
      </w:r>
    </w:p>
    <w:p>
      <w:r>
        <w:rPr>
          <w:b/>
        </w:rPr>
        <w:t>E. 4.2</w:t>
      </w:r>
    </w:p>
    <w:p>
      <w:r>
        <w:t>Les frais judiciaires de première instance sont répartis par moitié et les dépens de première instance compensés, en application de l’art. 107 al. 1 let. c CPC.</w:t>
      </w:r>
    </w:p>
    <w:p>
      <w:r>
        <w:rPr>
          <w:b/>
        </w:rPr>
        <w:t>E. 4.3</w:t>
      </w:r>
    </w:p>
    <w:p>
      <w:r>
        <w:t>Les frais judiciaires de deuxième instance, comprenant l’indemnité allouée à la curatrice de représentation de l’enfant, sont arrêtés à 925 fr. (art. 95 al. 2 let. e CPC ; art. 74a al. 4 TFJC) et sont provisoirement laissés à la charge de l’Etat par 462 fr. 50 pour le recourant et par 462 fr. 50 pour l’intimée.</w:t>
      </w:r>
    </w:p>
    <w:p>
      <w:r>
        <w:rPr>
          <w:b/>
        </w:rPr>
        <w:t>E. 4.4</w:t>
      </w:r>
    </w:p>
    <w:p>
      <w:r>
        <w:t>Les bénéficiaires de l’assistance judiciaire sont, dans la mesure de l’art. 123 CPC, tenus au remboursement des frais judiciaires et de l’indemnité au conseil d’office provisoirement laissés à la charge de l’Etat.</w:t>
      </w:r>
    </w:p>
    <w:p>
      <w:r>
        <w:rPr>
          <w:b/>
        </w:rPr>
        <w:t>E. 4.5</w:t>
      </w:r>
    </w:p>
    <w:p>
      <w:r>
        <w:t>Les dépens de deuxième instance sont compensés (art. 107 al. 1 let. c CPC). Par ces motifs, la Chambre des curatelles du Tribunal cantonal, statuant à huis clos, prononce : I. Le recours est rejeté. II. L’ordonnance est confirmée. III. Une indemnité d’un montant de 325 fr.  (trois cent vingt-cinq francs), débours compris, non soumise à la TVA, est allouée à Me Julie André pour son activité de curatrice de représentation de l’enfant B.C.________ dans la procédure de recours. IV. L'indemnité d’office de Me Damien Hottelier, conseil du recourant V.________, est arrêtée à 1'613 fr. (mille six cent treize francs), TVA et débours compris. V. L’indemnité d’office de Me Franck-Olivier Karlen, conseil de l’intimée A.C.________, est arrêtée à 1'897 fr. (mille huit cent nonante-sept francs), TVA et débours compris. VI. Les frais judiciaires de deuxième instance, comprenant l’indemnité allouée à la curatrice de représentation de l’enfant, sont arrêtés à 925 fr. (neuf cent vingt-cinq francs) et sont provisoirement laissés à la charge de l’Etat par 462 fr. 50 (quatre cent soixante-deux francs et cinquante centimes) pour le recourant V.________ et par 462 fr. 50 fr. (quatre cent soixante-deux francs et cinquante centimes) pour l’intimée A.C.________. VII. Les bénéficiaires de l’assistance judiciaire sont, dans la mesure de l’art. 123 CPC, tenus au remboursement des frais judiciaires et de l’indemnité au conseil d’office provisoirement laissés à la charge de l’Etat. VIII. Les dépens de deuxième instance sont compensés. IX. L’arrêt est exécutoire. Le président :              La greffière : Du L'arrêt qui précède, dont la rédaction a été approuvée à huis clos, est notifié à : ‑ Me Damien Hottelier (pour V.________), ‑ Me Franck-Olivier Karlen (pour A.C.________), - Me Julie André (pour B.C.________), - Service de protection de la jeunesse – ORPM de l’Ouest vaudois, à l’attention de l’assistante sociale U.________, et communiqué à : ‑ Justice de paix du district de Morges, - SPJ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