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1072 vom 4. Dezember 2018</w:t>
      </w:r>
    </w:p>
    <w:p>
      <w:r>
        <w:t>VD Tribunal cantonal, 2018-12-04, FR</w:t>
      </w:r>
    </w:p>
    <w:p>
      <w:r>
        <w:rPr>
          <w:b/>
        </w:rPr>
        <w:t xml:space="preserve">Quelle: </w:t>
      </w:r>
      <w:r>
        <w:t>https://mcp.opencaselaw.ch/entscheid/vd_findinfo_Arr_t___2018___1072</w:t>
      </w:r>
    </w:p>
    <w:p>
      <w:r>
        <w:t>FR: VD_FINDINFO Arrêt / 2018 / 1072 du 4 décembre 2018</w:t>
      </w:r>
    </w:p>
    <w:p>
      <w:r>
        <w:t>IT: VD_FINDINFO Arrêt / 2018 / 1072 del 4 dicembre 2018</w:t>
      </w:r>
    </w:p>
    <w:p>
      <w:pPr>
        <w:pStyle w:val="Heading2"/>
      </w:pPr>
      <w:r>
        <w:t>Regeste</w:t>
      </w:r>
    </w:p>
    <w:p>
      <w:r>
        <w:t>ADMISSION DE LA DEMANDE, ALLOCATION POUR IMPOTENT, CONDITION D'ASSURANCE, DROIT À LA PRESTATION D'ASSURANCE, AFFECTION OCULAIRE | 4 al. 2 LAI, 42 LAI, 6 LAI, 9 LPGA, 35 al. 1 RAI, 37 al. 3 let. d RAI</w:t>
      </w:r>
    </w:p>
    <w:p>
      <w:pPr>
        <w:pStyle w:val="Heading2"/>
      </w:pPr>
      <w:r>
        <w:t>Erwägungen</w:t>
      </w:r>
    </w:p>
    <w:p>
      <w:r>
        <w:rPr>
          <w:b/>
        </w:rPr>
        <w:t>E. 4</w:t>
      </w:r>
    </w:p>
    <w:p>
      <w:r>
        <w:t>décembre 2018 _____________________ Composition :               M. Piguet , président Mmes Brélaz Braillard et Berberat, juges Greffier : M.              Addor ***** Cause pendante entre : J.________ , à Lausanne, recourant, et OFFICE DE L’ASSURANCE-INVALIDITE POUR LE CANTON DE VAUD , à Vevey, intimé. _______________ Art.</w:t>
      </w:r>
    </w:p>
    <w:p>
      <w:r>
        <w:rPr>
          <w:b/>
        </w:rPr>
        <w:t>E. 9</w:t>
      </w:r>
    </w:p>
    <w:p>
      <w:r>
        <w:t>septembre 2016 , le patient consulte aux urgences de notre établissement en raison d’une baisse de l’acuité visuelle de l’œil gauche, limitée ce jour à la perception lumineuse. Un décollement de la rétine a été mis en évidence, raison pour laquelle le patient a à nouveau été envoyé à L.________, pour la prise en charge chirurgicale (vitrectomie et silicone). Le 24.01.2017 , le patient a été réadapté avec une lentille sclérale à l'œil droit . L'acuité visuelle est remontée de ce côté-là à 1/10 . Elle reste limitée à la perception lumineuse à l'œil gauche. Depuis cette date, je suis régulièrement Monsieur J.________ pour l'ablation de ses cils trichiasiques. Il présente un état stable, avec une acuité visuelle aux alentours entre 0.8/10 et 1/10 à droite, contre la perception lumineuse à l'œil gauche. Il n'y a aucun doute que l'ensemble des complications de Monsieur J.________ découlent de la maladie initiale (syndrome de Lyell). Les complications survenues après la mise en place de la kératoprothèse à l'œil gauche sont directement liées à la présence de cette kératoprothèse (endophtalmie). La mise en place de kératoprothèse est le seul traitement actuellement reconnu pour le traitement des opacités cornéennes avec insuffisance limbique bilatérale. g) Dans ses déterminations du 18 septembre 2018, l’office AI a maintenu ses conclusions. h) Dans ses déterminations du 8 octobre 2018, J.________ a réitéré le fait que sa vue n’avait chuté qu’au mois de septembre 2016. Il a produit un rapport complémentaire de la doctoresse S.________, dont la teneur était la suivante : J’ai reçu la copie de l’intégralité du dossier médical du service d’ophtalmologie de l’Université de L.________ de Monsieur J.________, et je peux compléter certaines informations manquantes sur mon premier compte rendu. En effet, dans les suites de l’endophtalmie survenue le 16.05.2015 à l’œil gauche, le patient a bénéficié d’une explantation de sa kératoprothèse de Boston de type 1 et d’une implantation d’une ostéo-odonto-kératoprothèse en date du 22.05.2015. L’acuité visuelle suite à ce geste est remontée à 3/10, comme l’atteste les examens cliniques du 28.12.2015, ainsi que du 01.02.2016 à L.________. Le patient a consulté le 09.09.2016, en raison d’une baisse de l’acuité visuelle à l’œil gauche, limitée à la perception lumineuse, date à laquelle un décollement de rétine a été mis en évidence et le patient envoyé à L.________ pour la prise en charge. A compter de cette date, l’acuité visuelle n’a jamais été meilleure que la perception lumineuse de ce côté. i) L’office AI a déposé d’ultimes déterminations en date du 16 octobre 2018. E n d r o i t : 1. a) 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du recourant à une allocation pour impotent de l’assurance-invalidité, singulièrement sur la question de savoir si le recourant remplit les conditions générales d’assurance pour prétendre à une telle prestation. 3. a) En vertu de l’art. 42 al. 1 LAI, les assurés impotents (art. 9 LPGA) qui ont leur domicile et leur résidence habituelle (art. 13 LPGA) en Suisse ont, sous réserve de l’art. 42 bis LAI,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c) Selon l’art. 37 al. 3 let. d RAI (règlement du 17 janvier 1961 sur l’assurance-invalidité ; RS 831.201), peut prétendre à une allocation pour impotent de degré faible l’assuré qui, même avec des moyens auxiliaires, a besoin de services considérables et réguliers de tiers lorsqu’en raison d’une grave atteinte des organes sensoriels ou d’une grave infirmité corporelle, il ne peut entretenir des contacts sociaux avec son entourage que grâce à eux. d) Selon le chiffre 8065 de la Circulaire sur l’invalidité et l’impotence dans l’assurance-invalidité (CIIAI), édictée par l’Office fédéral des assurances sociales (OFAS), il y a grave faiblesse de la vue au sens requis par l’art. 37 al. 3 let. d RAI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il convient également d’admettre une grave faiblesse de la vue lorsqu’elle entraîne les mêmes effets qu’une diminution de l’acuité visuelle ou une limitation du champ visuel dans les limites mentionnées. C’est également valable pour d’autres atteintes du champ visuel (par ex. pertes sectorielles ou en croissant, hémianopsies, scotome central). 4.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5.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S'agissant du droit à une allocation pour impotent, le droit prend naissance le premier jour du mois au cours duquel toutes les conditions de ce droit sont réalisées (art. 35 al. 1 RAI), mais au plus tôt dès que l'assuré a été dépendant de l’aide d’autrui sans interruption notable durant une année au moins (art. 42 al. 4 in fine LAI en corrélation avec l’art. 28 al. 1 let. b LAI et l’art. 42 bis al. 3 LAI ; ATF 137 V 351 consid. 5.1 ; voir également TF 8C_745/2012 du 4 mars 2013 consid. 6). 6. a) En l’espèce, il ressort des renseignements médicaux recueillis au cours de la procédure que l’acuité visuelle du recourant a passablement fluctué depuis son arrivée en Suisse. Arrivé en Suisse le 18 août 2014, le recourant doit être hospitalisé le 8 septembre 2014 à l’Hôpital R.________ en raison d’un épisode de brûlures et d’irritation des deux yeux. La situation évolue favorablement, avec, au moment de la sortie de l’hôpital le 15 septembre 2014, une diminution des plaintes et une amélioration sensible de l’état des yeux (cf. rapport du docteur H.________ du 14 janvier 2015). Un contrôle effectué le 23 mars 2015 met en évidence une acuité visuelle de 5/10 à l’œil gauche (cf. rapport de la doctoresse S.________ du 20 août 2018). Le 16 mai 2015, le recourant consulte en urgence le service d’ophtalmologie de l’Hôpital R.________ en raison de douleurs marquées à l’œil gauche. Il est transféré à l’Hôpital universitaire de L.________, établissement où il subit le 22 mai 2015 une explantation de prothèse, une vitrectomie et une kératoplastie transfixiante. Les 26 août et 9 décembre 2015, il bénéficie de deux nouvelles interventions chirurgicales afin de réaliser une ostéo-odonto-kératoprothèse (rapports de la clinique d’ophtalmologie de l’Université de L.________ des 8 septembre et 18 décembre 2015). A la suite de ces interventions, le recourant recouvre une acuité visuelle de 3/10 à l’œil gauche (rapports de la clinique d’ophtalmologie de l’Université de L.________ des 3 février et 8 avril 2016). Le 9 septembre 2016, il consulte en urgence le service d’ophtalmologie de l’Hôpital R.________ en raison d’une baisse de l’acuité visuelle à l’œil gauche. Les examens mettent en évidence un décollement de la rétine. Le recourant est à nouveau transféré à L.________ afin de subir une nouvelle intervention chirurgicale (rapport de la clinique d’ophtalmologie de l’Université de L.________ du 23 septembre 2016). Depuis lors, le recourant n’a plus recouvré d’acuité visuelle significative. b) Sur le vu de ce qui précède, il appert que le recourant disposait, à tout le moins au cours de l’hiver 2015 et du printemps 2016, d’une acuité visuelle supérieure à 0,2 qui lui permettait, selon ses termes, de lire et d’être autonome. Compte tenu des fluctuations de l’acuité visuelle, on ne pouvait parler à ce moment-là d’une situation largement stabilisée et pour l’essentiel irréversible. De fait, un besoin d’aide permanente au sens des art. 9 LPGA et 37 al. 3 let. d RAI ne s’est concrétisé qu’à compter du 9 septembre 2016, jour où l’œil gauche du recourant a été atteint d’un décollement de la rétine et à partir duquel il y a lieu de considérer qu’il souffre de façon durable d’une grave faiblesse de la vue. Au terme du délai d’une année, le recourant pouvait se prévaloir d’une durée de cotisation d’une année entière au moins, si bien qu’il remplissait les conditions prévues à l’art. 6 al. 2 LAI. c) Pour le reste, on précisera qu’il n’y a pas lieu en l’espèce de prêter une attention particulière à l’analyse faite par le SMR, dite analyse ne procédant pas – tant s’en faut – d’une appréciation circonstanciée et détaillée de l’ensemble des rapports médicaux versés à la procédure. 7. a) Bien fondé, le recours doit être admis et la décision rendue le 30 octobre 2017 réformée, en ce sens que le recourant a droit à une allocation pour impotent de degré faible à compter du 1 er septembre 2017.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la charge de l’office intimé. c) Le recourant obtenant gain de cause sans l’assistance d’un mandataire,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