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976 vom 30. November 2017</w:t>
      </w:r>
    </w:p>
    <w:p>
      <w:r>
        <w:t>VD Tribunal cantonal, 2017-11-30, FR</w:t>
      </w:r>
    </w:p>
    <w:p>
      <w:r>
        <w:rPr>
          <w:b/>
        </w:rPr>
        <w:t xml:space="preserve">Quelle: </w:t>
      </w:r>
      <w:r>
        <w:t>https://mcp.opencaselaw.ch/entscheid/vd_findinfo_Arr_t___2017___976</w:t>
      </w:r>
    </w:p>
    <w:p>
      <w:r>
        <w:t>FR: VD_FINDINFO Arrêt / 2017 / 976 du 30 novembre 2017</w:t>
      </w:r>
    </w:p>
    <w:p>
      <w:r>
        <w:t>IT: VD_FINDINFO Arrêt / 2017 / 976 del 30 novembre 2017</w:t>
      </w:r>
    </w:p>
    <w:p>
      <w:pPr>
        <w:pStyle w:val="Heading2"/>
      </w:pPr>
      <w:r>
        <w:t>Regeste</w:t>
      </w:r>
    </w:p>
    <w:p>
      <w:r>
        <w:t>REPRÉSENTATION EN PROCÉDURE, CONFLIT D'INTÉRÊTS | 306 CC, 450 CC</w:t>
      </w:r>
    </w:p>
    <w:p>
      <w:pPr>
        <w:pStyle w:val="Heading2"/>
      </w:pPr>
      <w:r>
        <w:t>Erwägungen</w:t>
      </w:r>
    </w:p>
    <w:p>
      <w:r>
        <w:rPr>
          <w:b/>
        </w:rPr>
        <w:t>E. 1</w:t>
      </w:r>
    </w:p>
    <w:p>
      <w:r>
        <w:t>Né le [...] 2000, A.A.________ est le fils de B.A.________ et de C.A.________.</w:t>
      </w:r>
    </w:p>
    <w:p>
      <w:r>
        <w:rPr>
          <w:b/>
        </w:rPr>
        <w:t>E. 1.1</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Basler Kommentar, Zivilgesetzbuch I, Art. 1-456 ZGB, 5e éd., Bâle 2014,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 Conformément à l'art. 450d CC, la Chambre des curatelles donne à la justice de paix (art.</w:t>
      </w:r>
    </w:p>
    <w:p>
      <w:r>
        <w:rPr>
          <w:b/>
        </w:rPr>
        <w:t>E. 1.2</w:t>
      </w:r>
    </w:p>
    <w:p>
      <w:r>
        <w:t>En l'espèce, interjeté en temps utile par les parents du mineur concerné, parties à la procédure, le présent recours est recevable. Les pièces transmises en deuxième instance le sont également si tant est qu'elles ne figurent pas déjà au dossier. L'autorité de protection et [...], signalant, se sont également déterminés (art. 450d al. 1 CC et art. 312 al. 1 CPC [Code de procédure civile du 19 décembre 2008 ; RS 272]), applicable par renvoi des art. 450f CC et 20 LVPAE). 2.</w:t>
      </w:r>
    </w:p>
    <w:p>
      <w:r>
        <w:rPr>
          <w:b/>
        </w:rPr>
        <w:t>E. 2</w:t>
      </w:r>
    </w:p>
    <w:p>
      <w:r>
        <w:t>Par écriture du 4 mai 2017, Me [...] a informé l'autorité de protection qu'il était chargé de la défense pénale de A.A.________. Il a expliqué que, par jugement du 31 janvier 2017, dont il avait joint la copie du dispositif à son courrier, le Président du Tribunal des mineurs (ci-après : le président du tribunal) avait constaté que A.A.________ s'était rendu coupable de vol, dommages à la propriété, violation de domicile, incendie intentionnel et tentative d'incendie intentionnel (I). Le président du tribunal avait également ordonné une mesure d'assistance personnelle, confiée à N.________, éducatrice au Tribunal des mineurs, ainsi qu'un traitement ambulatoire (II et III), avait infligé une peine de vingt demi-journées de prestations personnelles avec sursis pendant un an à A.A.________ (IV) et avait renvoyé [...], la [...], la [...] et [...] à agir par la voie civile (IV). Selon Me [...][...], si les prétentions civiles n'avaient pas fait l'objet d'une procédure judiciaire, celles alléguées dans le cadre de la procédure pénale s'étaient élevées à un total de 236'757 fr. De son avis, les parents devaient répondre des actes de leur fils en leur qualité de chefs de famille. Toutefois, par un courrier du 31 mars 2017, ceux-ci avaient contesté être civilement responsables des dommages causés par leur enfant, considérant que A.A.________, âgé de 14 ans au moment des faits, était capable de discernement, partant responsable civilement et qu'il n'existait pas un rapport de causalité adéquate entre les dommages survenus et un défaut de surveillance et de diligence de leur part. Se fondant sur une expertise déposée le 1 er mars 2016, Me [...] avait estimé au contraire que A.A.________ n'était pas capable de discernement au moment des faits. Au vu des circonstances, Me  [...] a requis l'institution d'une curatelle de représentation en faveur de A.A.________. En annexe au courrier de [...] figurait également une copie du rapport d'expertise psychiatrique établi par le psychologue associé C.________ de l'Unité de pédopsychiatrie légale de l'Institut de psychiatrie légale du CHUV du 1er mars 2016. En particulier, l'expert indiquait que le manque de protection maternelle face à la maltraitance paternelle dont A.A.________ était victime depuis de nombreuses années avait nourri chez lui une intense colère. Cette problématique l'avait amené à commettre des actes incendiaires qui avaient pris naissance dans un contexte familial carencé, directement influencé par l'absence de disponibilité des deux parents qui étaient très pris par leur métier de restaurateur. Selon l'expert, ce manque de présence s'exprimait à deux niveaux, tout d'abord sur le plan du partage au quotidien, du fait de l'activité chronophage des parents, puis en termes de partages affectifs. Face à ses propres difficultés, l'expertisé ressentait un profond sentiment de solitude. En raison de l'absence de ses parents, partant d'un tiers faisant figure d'autorité, A.A.________ vivait une relation avec sa sœur qui semblait également s'être constituée sur un mode conflictuel, la sœur aînée ayant probablement dû endosser un rôle d'enfant parentifiée par délégation, forme d'autorité que A.A.________ n'acceptait pas, l'estimant illégitime et non justifiée.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w:t>
      </w:r>
    </w:p>
    <w:p>
      <w:r>
        <w:rPr>
          <w:b/>
        </w:rPr>
        <w:t>E. 2.3</w:t>
      </w:r>
    </w:p>
    <w:p>
      <w:r>
        <w:t>Les parents, le signalant et l'enfant ont été entendus par la juge de paix le 2 août 2017, préalablement à la décision attaquée, de sorte que la décision est formellement correcte. 3.</w:t>
      </w:r>
    </w:p>
    <w:p>
      <w:r>
        <w:rPr>
          <w:b/>
        </w:rPr>
        <w:t>E. 3</w:t>
      </w:r>
    </w:p>
    <w:p>
      <w:r>
        <w:t>Le 2 août 2017, l'autorité de protection a procédé aux auditions de [...], des parents de A.A.________, assistés de leur conseil, Me Alex Wagner, et du témoin N.________. Lors de leur comparution, les parents de A.A.________ se sont opposés à l'institution d'une curatelle de représentation en faveur de leur fils, faisant valoir qu'ils n'avaient pas de conflit d'intérêts avec lui, qu'ils n'en étaient encore qu'au stade des pourparlers avec les assurances et qu'ils ne faisaient l'objet d'aucune action civile en lien avec leur responsabilité de chefs de famille. Sur ce point, leur conseil a produit en copie des courriers des 16 septembre 2016 et 12 avril 2017 de la Bâloise Assurances et de l'ECA faisant état de possibilités d'arrangement. Bien que refusant leur responsabilité de chefs de famille, les parents de A.A.________ se sont néanmoins dits disposés à s'acquitter d'une partie du montant des dommages causés par leur fils. Entendu séparément,  A.A.________ s'est déclaré prêt à rembourser les montants dus en réparation des dommages causés. Il a ajouté espérer trouver un arrangement avec les assurances et bénéficier d'une aide financière de ses parents dont il a dit ignorer la position concernant les demandes des assurances. A.A.________ a considéré que ses parents étaient en mesure de le défendre et que la désignation d'un curateur de représentation n'était pas nécessaire.</w:t>
      </w:r>
    </w:p>
    <w:p>
      <w:r>
        <w:rPr>
          <w:b/>
        </w:rPr>
        <w:t>E. 3.1</w:t>
      </w:r>
    </w:p>
    <w:p>
      <w:r>
        <w:t>Les recourants contestent la nécessité d'instituer une curatelle de représentation à leur fils A.A.________, qui plus est confiée à un avocat étranger à l'affaire, des arrangements financiers étant progressivement trouvés avec les parties civiles.</w:t>
      </w:r>
    </w:p>
    <w:p>
      <w:r>
        <w:rPr>
          <w:b/>
        </w:rPr>
        <w:t>E. 3.1.1</w:t>
      </w:r>
    </w:p>
    <w:p>
      <w:r>
        <w:t>L'art. 306 al. 2 CC prévoit que, si, dans une affaire, les intérêts des père et mère entrent en conflit avec ceux de l'enfant, l'autorité de protection de l'enfant nomme un curateur ou prend elle-même les mesures nécessaires. Une telle désignation doit intervenir dans tous les cas où les intérêts du mineur sont en opposition avec ceux du représentant légal (Meier/Stettler, Droit de la filiation, 5e éd., 2014, n. 939, p. 624). L’existence d’un conflit d’intérêts se détermine par conséquent de manière abstraite et non concrète (ATF 118 II 101, JdT 1995 I 103 ; ATF 107 II 105, JdT 1982 I 106). La jurisprudence a notamment précisé qu'il y a conflit d'intérêts lorsqu'il existe entre le tiers et le représentant légal des rapports personnels si étroits qu'il faut prévoir que le comportement du représentant légal pourrait être influencé par les égards qu'il pourrait avoir pour les intérêts de ce tiers (ATF 107 II 105 consid. 4, JdT 1982 I 106). L'existence d'un conflit d'intérêts entraîne l'extinction du pouvoir de représentation du parent (art. 306 al. 3 CC; Meier/Stettler, op. cit., n. 942, p. 625). L'autorité parentale sert le bien de l'enfant (art. 296 al. 1 CC).</w:t>
      </w:r>
    </w:p>
    <w:p>
      <w:r>
        <w:rPr>
          <w:b/>
        </w:rPr>
        <w:t>E. 3.1.2</w:t>
      </w:r>
    </w:p>
    <w:p>
      <w:r>
        <w:t>L’art. 333 al. 1 CC prévoit que le chef de famille est responsable du dommage causé par les mineurs, par les personnes sous curatelle de portée générale ou par les personnes atteintes d’une déficience mentale ou de troubles psychiques placés sous son autorité, à moins qu’il justifie les avoir surveillés de la manière usitée et avec l’attention commandée par les circonstances. Le chef de famille au sens de l’art. 333 CC s’entend de la personne qui exerce l  ’autorité domestique sur le mineur, en général les père et mère, mais aussi des parents ou connaissances auprès de qui l’enfant se trouve pour une certaine durée (Girsberger, Basler Kommentar, op. cit., n. 4 ad art. 333 CC). Le contenu du devoir de surveillance, au sens de l'art. 333 CC, ne peut pas être déterminé d'après des critères rigoureux et absolus, mais doit être fixé en fonction des circonstances concrètes de la cause (ATF 103 II 27 consid. 4). Si l'acte dommageable du mineur était imprévisible, on ne saurait reprocher au surveillant de n'avoir pas fait preuve d'une attention dépassant la mesure habituelle. Dans le cas contraire, ce sont les conditions locales, sociales et personnelles, en particulier l'endroit considéré, l'âge et le caractère du mineur, ainsi que la nature du danger auquel ce dernier expose autrui, qui permettront de constater une éventuelle violation du devoir de surveillance (ATF 100 II 301 et les arrêts cités). La responsabilité du chef de famille est une responsabilité causale, à vrai dire adoucie, c’est-à-dire avec possibilité de faire la preuve de son exonération. Tandis que, dans le cas de la responsabilité de l’employeur (art. 55 CO) et de la responsabilité du détenteur d’animaux (art. 56 CO), la jurisprudence pose des critères élevés – la loi exige l’application de toute l’attention commandée par les circonstances –, il est attendu du chef de famille qu’il ait exercé sa surveillance de la manière usuelle et avec l’attention commandée par les circonstances. La doctrine souligne donc avec raison que, dans la mesure où il s’agit d’enfants et non de malades mentaux ou de personnes faibles d’esprit, on ne saurait soumettre le chef de famille à des exigences exagérées, quand il s’agit de se libérer de sa responsabilité. Cette différenciation se reflète également dans l’énoncé comme d’ailleurs dans la systématique de la loi. L’art. 333 al. 3 CC contient ainsi des prescriptions spéciales et plus strictes en ce qui concerne les malades mentaux et les faibles d’esprit, tandis que, lorsqu’il s’agit d’enfants, seule la règle générale en matière de responsabilité de l’art. 333 al. 1 CC est applicable (ATF 133 III 556 consid. 4, JdT 2008 I 247 et les références citées). L’expression « de manière usitée » renvoie aux usages locaux (par exemple aux comportements en ville, à la campagne ou à la montagne), à quoi s’ajoutent des habitudes générales, valant pour l’ensemble du pays. Une mauvaise habitude ou un véritable abus ne saurait valoir référence comme « manière usitée ». Pourtant les us et coutumes de la vie quotidienne constituent la référence quand il s’agit d’objectiviser l’attention requise. Par « circonstances », il faut entendre les circonstances du cas particulier. Outre les conditions locales, sociales et personnelles, notamment l’âge, le caractère et la maturité intellectuelle, il faut prendre en considération également les penchants particuliers, les habitudes et les prédispositions de la personne placée sous l’autorité du chef de famille (ATF 133 III 556 précité consid. 4 et les références citées). Le devoir de surveillance ne comprend pas que la surveillance proprement dite ; il faut aussi prendre toutes les mesures propres à empêcher des mineurs de causer un dommage prévisible. Par rapport à des actes éventuellement dangereux, le chef de famille doit exhorter, instruire, voire interdire (ATF 133 III 556 précité consid. 4 et les références citées). Il doit être libéré de toute responsabilité lorsqu’aucun reproche ne peut lui être fait dans le cadre de la surveillance de l’enfant (ATF 133 III 556 précité consid. 6).</w:t>
      </w:r>
    </w:p>
    <w:p>
      <w:r>
        <w:rPr>
          <w:b/>
        </w:rPr>
        <w:t>E. 3.2</w:t>
      </w:r>
    </w:p>
    <w:p>
      <w:r>
        <w:t>En l'espèce, le dossier ne comprend pas la motivation du jugement du Tribunal des mineurs du 31 janvier 2017. Il ressort toutefois du dispositif de cette décision que les parties civiles ont été renvoyées à agir par la voie civile (ch. VII). On relève par ailleurs que dans le rapport d'expertise du 1er mars 2016, le psychologue associé C.________ de l'Institut de psychiatrie légale du CHUV retient qu'un manque de protection maternelle face à l'attitude paternelle maltraitante dont l'enfant a été victime depuis de nombreuses années a nourri chez celui-ci une intense colère et que le contexte familial carencé a été directement influencé par l'absence de disponibilité des parents. Ainsi, l'expert s'appuie sur le fait que A.A.________ était souvent livré à lui-même dès son entrée à l'école, sur le sentiment de profonde solitude qu'il éprouvait, mais aussi sur l'autorité que sa sœur aînée exerçait sur lui, laquelle se substituait à une autorité parentale absente en raison du travail forcené des deux parents. Les constatations de l'expert peuvent effectivement induire des prétentions pécuniaires contre les parents en application de l'art. 333 al. 1 CC. Toutefois, il n'est pas aisé de déterminer dans quelle mesure l'enfant ou les parents de celui-ci pourraient se voir réclamer tout ou partie des montants allégués. Selon les correspondances figurant au dossier, de même que d'après le recours et les pièces produites, des accords financiers sont en passe d'être trouvés avec certains créanciers ; d'autres, en revanche, ne se sont pas encore manifestés. Quoi qu'il en soit, deux cas de figure peuvent se présenter : soit un règlement est trouvé avec toutes les parties civiles, le cas échéant grâce à l'aide financière des parents du mineur, et la mission d'un curateur de représentation se limitera à prendre acte des règlements financiers, à en constater le caractère équilibré et à en faire rapport à la justice de paix ; soit l'un ou l'autre des règlements ne pourra aboutir en raison, par exemple, de prétentions financières trop élevées ou d'exigences inacceptables, et le risque que l'intérêt du mineur se trouve en opposition avec celui de ses parents existera bel et bien. Dans ce dernier cas, le conflit d'intérêts impose la désignation d'un curateur de représentation, d'autant plus que l'appréciation du risque doit se faire de manière abstraite.</w:t>
      </w:r>
    </w:p>
    <w:p>
      <w:r>
        <w:rPr>
          <w:b/>
        </w:rPr>
        <w:t>E. 3.3</w:t>
      </w:r>
    </w:p>
    <w:p>
      <w:r>
        <w:t>Les recourants soutiennent encore que la nomination d'un curateur de représentation va rendre les négociations plus difficiles et que la tâche du curateur telle que définie en page 8 de la décision attaquée va imposer à la curatrice désignée de s'en prendre obligatoirement aux parents du mineur, ce qui serait inadéquat, vu les démarches en cours, plutôt effectuées pour le moment avec succès par les parents. Tout d'abord, le chiffre III du dispositif de la décision attaquée qualifie la tâche de la curatrice de manière générale, ce qui devrait permettre à celle-ci de disposer d'une marge de manœuvre certaine. Ensuite, il est effectivement possible, à la lecture du considérant figurant en page 8 de la décision, que les premiers juges aient été trop péremptoires dans la consigne donnée à la curatrice : si les recourants devaient poursuivre leurs démarches envers les derniers créanciers et que ces démarches soient couronnées de succès, permettant à leur fils d'échapper à une action civile, la curatrice sera dispensée d'examiner une éventuelle responsabilité à forme de l'art. 333 CC ; si, en revanche, A.A.________ devait se voir directement viser par une action civile, voire qu'un accord négocié devait le mettre dans une situation grevant son avenir, la curatrice devrait examiner dans quelle mesure la responsabilité du chef de famille serait également engagée. A cet égard, on rappellera toutefois que le recours sur les motifs est irrecevable (ATF 118 II 108 consid. 2c; Poudret/Haldy/Tappy, Procédure civile vaudoise, 3ème éd., Lausanne 2002, n. 4 ad art. 443 CPC-VD, p. 649), et que, comme cela figure plus haut, le chiffre III du dispositif peut être confirmé, la tâche confiée à la curatrice restant correctement définie. Par conséquent, bien fondée, la décision doit être confirmée.</w:t>
      </w:r>
    </w:p>
    <w:p>
      <w:r>
        <w:rPr>
          <w:b/>
        </w:rPr>
        <w:t>E. 4</w:t>
      </w:r>
    </w:p>
    <w:p>
      <w:r>
        <w:t>En conclusion, le recours est rejeté et la décision confirmée. Les frais de deuxième instance, arrêtés à 450 fr. (art. 74a al. 1 TFJC [tarif des frais judiciaires civils du 28 septembre 2010 ; RSV 270.11.5]), sont mis à la charge des recourants, solidairement entre eux. Les recourants, solidairement entre eux, verseront à Me [...] le montant de 200 fr. à titre de dépens de deuxième instance (art. 95, 96 et 106 al. 1 CPC). Par ces motifs, la Chambre des curatelles du Tribunal cantonal, statuant à huis clos, prononce : I. Le recours est rejeté. II. La décision est confirmée. III. Les frais de deuxième instance, arrêtés à 450 fr. (quatre cent cinquante francs), sont mis à la charge des recourants B.A.________ et C.A.________, solidairement entre eux. IV. Les recourants B.A.________ et C.A.________, solidairement entre eux, verseront à [...] la somme de 200 fr. (deux cents francs) à titre de dépens de deuxième instance. V. L'arrêt est exécutoire. La présidente :              La greffière : Du L'arrêt qui précède, dont la rédaction a été approuvée à huis clos, est notifié à : ‑ Me Alex Wagner (pour A.A.________ et C.A.________). ‑ MeP.________, - Me [...], - N.________,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