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953 vom 4. Juli 2018</w:t>
      </w:r>
    </w:p>
    <w:p>
      <w:r>
        <w:t>VD Tribunal cantonal, 2018-07-04, FR</w:t>
      </w:r>
    </w:p>
    <w:p>
      <w:r>
        <w:rPr>
          <w:b/>
        </w:rPr>
        <w:t xml:space="preserve">Quelle: </w:t>
      </w:r>
      <w:r>
        <w:t>https://mcp.opencaselaw.ch/entscheid/vd_findinfo_Arr_t___2017___953</w:t>
      </w:r>
    </w:p>
    <w:p>
      <w:r>
        <w:t>FR: VD_FINDINFO Arrêt / 2017 / 953 du 4 juillet 2018</w:t>
      </w:r>
    </w:p>
    <w:p>
      <w:r>
        <w:t>IT: VD_FINDINFO Arrêt / 2017 / 953 del 4 luglio 2018</w:t>
      </w:r>
    </w:p>
    <w:p>
      <w:pPr>
        <w:pStyle w:val="Heading2"/>
      </w:pPr>
      <w:r>
        <w:t>Regeste</w:t>
      </w:r>
    </w:p>
    <w:p>
      <w:r>
        <w:t>RENTE D'INVALIDITÉ, DEGRÉ DE L'INCAPACITÉ DE TRAVAIL, DEGRÉ DE L'INVALIDITÉ, FORCE PROBANTE, SUREXPERTISE, PREUVE FACILITÉE, RENTE TEMPORAIRE | 28 LAI, 16 LPGA, 17 LPGA, 6 LPGA, 7 LPGA, 8 LPGA</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En l’espèce, interjeté dans le respect du délai légal et des autres conditions de forme (art. 61 let. b LPGA notamment), le recours est recevable. Il y a donc lieu d’entrer en matière.</w:t>
      </w:r>
    </w:p>
    <w:p>
      <w:r>
        <w:rPr>
          <w:b/>
        </w:rPr>
        <w:t>E. 2</w:t>
      </w:r>
    </w:p>
    <w:p>
      <w:r>
        <w:t>Est litigieuse la question du droit du recourant à une demi-rente d'invalidité à compter du 1 er juillet 2014 pour une durée illimitée. Plus précisément, le recourant conteste l'évaluation de sa capacité résiduelle de travail compte tenu des atteintes à la santé qu'il présente ainsi que le salaire d'invalidité retenu par l'intimé. Dans ce contexte, une expertise judiciaire a été mise en œuvre avec l'accord des parties.</w:t>
      </w:r>
    </w:p>
    <w:p>
      <w:r>
        <w:rPr>
          <w:b/>
        </w:rPr>
        <w:t>E. 3</w:t>
      </w:r>
    </w:p>
    <w:p>
      <w:r>
        <w:t>a) Est réputée invalidité l’incapacité de gain totale ou partielle qui est présumée permanente ou de longue durée, résultant d’une infirmité congénitale, d’une maladie ou d’un accident (cf. art. 8 al. 1 LPGA et 4 al. I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n'exerçant pas d'activité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Lorsque, comme en l’espèce, l’administration entre en matière sur une nouvelle demande après un précédent refus de prestations,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c) Selon la jurisprudence, une décision qui simultanément accorde une rente avec effet rétroactif et en prévoit l’augmentation, la réduction ou la suppression, respectivement octroie une rente pour une durée limitée – comme c'est le cas en l'espèce – correspond à une décision de révision selon l’art. 17 LPGA (ATF 131 V 164 consid. 2.2, 130 V 343 consid. 3.5, 125 V 413 consid. 2d). Aux termes de cette disposition,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ne soit à craindre (art. 88a al. 1 RAI [règlement du 17 janvier 1961 sur l'assurance-invalidité; RS 831.201]).</w:t>
      </w:r>
    </w:p>
    <w:p>
      <w:r>
        <w:rPr>
          <w:b/>
        </w:rPr>
        <w:t>E. 4</w:t>
      </w:r>
    </w:p>
    <w:p>
      <w:r>
        <w:t>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et les autres références citées). En outre, les renseignements fournis par les médecins constituent une base importante pour apprécier la question de savoir quelle activité peut encore être raisonnablement exigée de la part de la personne assurée (cf. ATF 125 V 256 consid. 4, 115 V 133 consid. 2, 114 V 310 consid. 2c et 105 V 156 consid. 1; cf. TF I 562/06 du 25 juillet 2007 consid. 2.1 et TFA I 274/05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125 V 351 consid. 3a; cf. TF 9C_1023/2008 du 30 juin 2009 consid. 2.1.1).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références). c) Les atteintes à la santé psychique peuvent, comme les atteintes physiques, entraîner une invalidité au sens de l'art. 4 al. 1 LAI en lien avec l'art. 8 LPGA. Jusqu'à très récemment, le Tribunal fédéral considérait que les diminutions de la capacité de gain que l’assuré pourrait empêcher en faisant preuve de bonne volonté ne constituaient pas des conséquences d’un état psychique maladif et n'étaient donc pas des affections à prendre en charge par l’AI; la mesure de ce qui était exigible devait être déterminée aussi objectivement que possible (ATF 127 V 294 consid. 4c; TF I 81/07 du 8 janvier 2008 consid. 3.2 et I 1093/06 du 3 décembre 2007 consid. 3.1). En 2015, le Tribunal fédéral avait modifié sa pratique de clarification du droit à une rente AI en cas de troubles douloureux sans causes organiques explicables (troubles somatoformes douloureux) et troubles psychosomatiques analogues ( ATF 141 V 281 ). Selon cette nouvelle jurisprudence, la décision sur le droit à une rente AI devait être rendue à l’issue d’une procédure structurée d’administration des preuves : il convenait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retenus par le Tribunal fédéral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Dans deux arrêts du 30 novembre 2017 (TF 8C_841/2016 et 130/2017), le Tribunal fédéral est arrivé à la conclusion que cette approche pour clarifier le droit à une rente AI devait s’appliquer dorénavant à tous les troubles psychiques, en particulier aussi aux dépressions légères à moyennes. Il a considéré que même si la classification diagnostique est médicalement nécessaire et qu’un diagnostic posé selon les règles de l’art est indispensable, ce qui importe le plus est la question des effets fonctionnels d’un trouble. Il convient dès lors plutôt d’appliquer à toutes les maladies psychiques la procédure d’administration des preuves à l’aide des indicateurs puisque des problèmes de preuve analogues se posent pour ce type de troubles. Au mieux, en fonction du tableau clinique, des ajustements devront être faits en conséquence lors de l’évaluation de certains indicateurs. Pour des questions de proportionnalité, il pourra être renoncé à la procédure structurée d’administration des preuves lorsque celle-ci n’est pas nécessaire ou qu’elle ne convient pas. Cela dépendra du besoin concret de preuve. La preuve d’une invalidité ouvrant droit à une rente ne pourra en principe être considérée comme rapportée que lorsqu’il existe une cohérence au niveau des limitations dans tous les domaines de la vie. Si ce n’est pas le cas, la preuve d’une limitation de la capacité de travail invalidante sera considérée comme n'étant pas rapportée et l’absence de preuve supportée par la personne concernée.</w:t>
      </w:r>
    </w:p>
    <w:p>
      <w:r>
        <w:rPr>
          <w:b/>
        </w:rPr>
        <w:t>E. 5</w:t>
      </w:r>
    </w:p>
    <w:p>
      <w:r>
        <w:t>a) En l'espèce, dans ses déterminations en regard du rapport d'expertise judiciaire du 13 décembre 2016, le recourant reconnaît implicitement que celui-ci revêt pleine valeur probante puisqu'il fonde son argumentation sur les atteintes à la santé, les limitations fonctionnelles et plus particulièrement sur le taux de capacité résiduelle de travail retenus par les experts. Il en va de même pour l'intimé, qui relève que, de l'avis du SMR du 23 février 2017, les observations des experts confirment en tout point l'évaluation de la capacité de travail effectuée par la CRR, sur laquelle il avait fondé sa décision. Dans le cas présent, les experts judiciaires ont procédé à un examen particulièrement fouillé et soigné de la situation médicale du recourant. Ils ont par ailleurs exposé leur analyse de manière détaillée et fourni des explications convaincantes sur les motifs qui les amenaient à ne retenir aucune incapacité de travail d'un point de vue psychiatrique et à considérer, sur le plan somatique, une pleine capacité de travail avec diminution de rendement de 20 % dans une activité professionnelle adaptée strictement aux limitations fonctionnelles du recourant. Ils ont par ailleurs précisé confirmer rétroactivement l'appréciation effectuée par les spécialistes de la CRR, en soulignant que la diminution de rendement de 20 % retenue par la CNA dans sa décision prenait correctement en compte les importantes et nombreuses limitations fonctionnelles de l'intéressé. Dans ces conditions, une pleine valeur probante au sens de la jurisprudence doit ainsi être accordée à l'expertise judiciaire. b) Au vu des conclusions des experts, il y a lieu de retenir que depuis le début de son stage ECP, le 25 mars 2014, le recourant dispose d'une pleine capacité de travail dans une activité strictement adaptée à ses limitations fonctionnelles (assise, semi-assise, avec déplacements et ports de charges occasionnels de 5 kg maximum, sans travaux répétitifs avec les membres supérieurs en porte-à-faux et au niveau de l'horizontale ou au-dessus du niveau des épaules), avec toutefois une baisse de rendement de 20 %, eu égard aux nombreuses et importantes limitations fonctionnelles.</w:t>
      </w:r>
    </w:p>
    <w:p>
      <w:r>
        <w:rPr>
          <w:b/>
        </w:rPr>
        <w:t>E. 6</w:t>
      </w:r>
    </w:p>
    <w:p>
      <w:r>
        <w:t>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du recourant, qui succombe. b) Le recourant, qui n'obtient pas gain de cause, n'a pas droit à des dépens (art. 61 let. g LPGA et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