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952 vom 17. November 2017</w:t>
      </w:r>
    </w:p>
    <w:p>
      <w:r>
        <w:t>VD Tribunal cantonal, 2017-11-17, FR</w:t>
      </w:r>
    </w:p>
    <w:p>
      <w:r>
        <w:rPr>
          <w:b/>
        </w:rPr>
        <w:t xml:space="preserve">Quelle: </w:t>
      </w:r>
      <w:r>
        <w:t>https://mcp.opencaselaw.ch/entscheid/vd_findinfo_Arr_t___2017___952</w:t>
      </w:r>
    </w:p>
    <w:p>
      <w:r>
        <w:t>FR: VD_FINDINFO Arrêt / 2017 / 952 du 17 novembre 2017</w:t>
      </w:r>
    </w:p>
    <w:p>
      <w:r>
        <w:t>IT: VD_FINDINFO Arrêt / 2017 / 952 del 17 novembre 2017</w:t>
      </w:r>
    </w:p>
    <w:p>
      <w:pPr>
        <w:pStyle w:val="Heading2"/>
      </w:pPr>
      <w:r>
        <w:t>Regeste</w:t>
      </w:r>
    </w:p>
    <w:p>
      <w:r>
        <w:t>REQUÊTE DE MAINLEVÉE, CURATELLE, PRINCIPE DE LA BONNE FOI | 399 al. 2 CC</w:t>
      </w:r>
    </w:p>
    <w:p>
      <w:pPr>
        <w:pStyle w:val="Heading2"/>
      </w:pPr>
      <w:r>
        <w:t>Erwägungen</w:t>
      </w:r>
    </w:p>
    <w:p>
      <w:r>
        <w:rPr>
          <w:b/>
        </w:rPr>
        <w:t>E. 1.1</w:t>
      </w:r>
    </w:p>
    <w:p>
      <w:r>
        <w:t>Le recours est dirigé contre une décision de la juge de paix refusant d’ouvrir une nouvelle enquête en mainlevée de curatelle.</w:t>
      </w:r>
    </w:p>
    <w:p>
      <w:r>
        <w:rPr>
          <w:b/>
        </w:rPr>
        <w:t>E. 1.2</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Art.1-456 ZGB, 5e éd., Bâle 2014, n. 42 ad art. 450 CC, p. 2624).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pour l’introduction des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 Elle peut confirmer ou modifier la décision attaquée devant elle. Dans des circonstances exceptionnelles, elle peut aussi l'annuler et renvoyer l'affaire à l'autorité précédente, par exemple pour compléter l’état de fait sur des points essentiels (art. 318 al. 1 let. c ch.</w:t>
      </w:r>
    </w:p>
    <w:p>
      <w:r>
        <w:rPr>
          <w:b/>
        </w:rPr>
        <w:t>E. 1.3</w:t>
      </w:r>
    </w:p>
    <w:p>
      <w:r>
        <w:t>En l’espèce, le recours a été interjeté par écrit et en temps utile. Il est également suffisamment motivé dès lors que, même si la recourante ne discute pas spécifiquement les motifs retenus dans la décision attaquée, on comprend néanmoins l'objet de sa contestation ainsi que sa volonté de s'opposer à tout ou partie de la décision prise par l'autorité de protection (art. 450 al. 3 CC ; Message concernant la révision du Code civil suisse du 28 juin 2006, FF 2006 p. 6717). En ce sens, le recours est recevable. En revanche, il est irrecevable s'agissant du dédommagement réclamé par la recourante, de la restitution de son passeport italien, de l'obtention d'une chaise roulante et du droit de retourner dans son pays d'origine, ces questions devant être soumises d'abord à l'autorité de protection ou de première instance compétente à forme de l'art. 454 CC, voire au curateur, ce qui n'a pas été fait. De telles prétentions ne sauraient être discutées directement devant l'autorité de recours.</w:t>
      </w:r>
    </w:p>
    <w:p>
      <w:r>
        <w:rPr>
          <w:b/>
        </w:rPr>
        <w:t>E. 2</w:t>
      </w:r>
    </w:p>
    <w:p>
      <w:r>
        <w:t>CPC, applicable par renvoi des art. 450f CC et 20 LVPAE). Selon les situations, le recours sera par conséquent réformatoire ou cassatoire (Guide pratique COPMA, n. 12.39, p. 290).</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Conformément à l’art. 446 CC, l'autorité de protection établit les faits d’office (al. 1) et procède à la recherche et à l'administration des preuves nécessai­res (al. 2). Elle applique le droit d’office (al. 4). Aux termes de l’art. 447 al. 1 CC, la personne concernée doit être entendue personnelle­ment, à moins que l’audition personnelle paraisse disproportionnée. En l’espèce, la décision querellée a été prise par la Juge de paix du district de l’Ouest lausannois, compétente en tant qu’autorité de protection du domicile de la personne concernée (art. 442 al. 1 CC). Cette autorité a refusé d'ouvrir une enquête, au motif que la situation de la recourante n'avait pas évolué depuis lors. Elle a rendu sa décision sans entendre la personne concernée. Lorsque le juge de paix n'ouvre pas d'enquête en vertu de l'art. 13 al. 4 LVPAE, il n'y a pas lieu de faire application de l'art. 447 CC. La décision de la juge de paix est donc formellement correcte.</w:t>
      </w:r>
    </w:p>
    <w:p>
      <w:r>
        <w:rPr>
          <w:b/>
        </w:rPr>
        <w:t>E. 3</w:t>
      </w:r>
    </w:p>
    <w:p>
      <w:r>
        <w:t>La recourante demande la levée de la mesure de curatelle instituée à son encontre.</w:t>
      </w:r>
    </w:p>
    <w:p>
      <w:r>
        <w:rPr>
          <w:b/>
        </w:rPr>
        <w:t>E. 3.1</w:t>
      </w:r>
    </w:p>
    <w:p>
      <w:r>
        <w:t>Seule l’autorité de protection peut mettre fin à la mesure de curatelle si elle n’est plus justifiée ; elle agit d’office ou sur requête de la personne concernée ou de l’un de ses proches (art. 399 al. 2 CC). La requête peut être déposée en tout temps ; la loi ne prévoit pas d’intervalles minimaux entre deux requêtes de mainlevée ou de modification, l’abus de droit (art. 2 al. 2 CC) demeurant réservé. L’autorité de protection n’est pas tenue d’entrer en matière lorsqu’une requête de libération est renouvelée dans un délai déraisonnable ou à des fins purement quérulentes (Meier, in Commentaire du droit de la famille, CommFam, Protection de l’adulte, Berne 2013, n. 30 ad art. 399 CC). Une requête de libération renouvelée immédiatement ou peu de temps après une décision de refus sera cependant considérée comme recevable si la personne concernée apporte la vraisemblance d’un changement de circonstances justifiant une libération (Meier, Droit de la protection de l’adulte, 2016, n. 930, p. 447 et n. 1252, p. 604, la situation étant comparable à la requête de libération du placement à des fins d’assistance). Selon la jurisprudence, la question de savoir quel est l’intervalle « approprié » dépend de chaque cas d’espèce, le droit de solliciter le juge « en tout temps » étant limité par le principe de la bonne foi (ATF 131 III 457, JdT 2005 I 312). Dans un autre arrêt (ATF 130 III 729), le Tribunal fédéral a confirmé qu’il n’y avait pas lieu d’entrer en matière sur des requêtes renouvelées dans un délai déraisonnablement court après un premier rejet, car cette démarche viole le principe de la bonne foi.</w:t>
      </w:r>
    </w:p>
    <w:p>
      <w:r>
        <w:rPr>
          <w:b/>
        </w:rPr>
        <w:t>E. 3.2</w:t>
      </w:r>
    </w:p>
    <w:p>
      <w:r>
        <w:t>En l'espèce, la recourante a été placée sous tutelle en 2006. Cette mesure a été remplacée de plein droit par une curatelle de portée générale en 2013. Depuis l'instauration de cette mesure, la situation de la recourante a été examinée régulièrement, conjointement d'ailleurs, avec la mesure de placement à des fins d'assistance dont elle a fait l'objet à partir du 20 janvier 2015, ces deux mesures ayant été confirmées le 16 juin 2015. Ainsi, l'expertise psychiatrique du 24 mars 2015 conclut à l'existence d'une dépendance à l'alcool et à une démence qui se trouvent à l'origine de troubles compromettant la capacité de la recourante à accepter les soins et l'aide dont elle a impérativement besoin. La recourante a également fait l'objet de pas moins de six décisions de l'autorité de protection et a porté quatre recours avant celui-ci, devant la Chambre de céans, recours à l'occasion desquels sa situation a été réévaluée. Ainsi, à chaque fois, il a été constaté que sa situation ne permettait plus de lui fournir les soins et l'aide dont elle avait besoin de manière ambulatoire et que le placement à des fins d'assistance était la mesure la plus adéquate pour éviter qu'elle se mette en danger. Le principe de la bonne foi impose donc de limiter la possibilité à la recourante de soumettre régulièrement sa situation à la justice, ce d'autant plus qu'elle n'invoque aucun élément relatif à un changement de circonstances. Enfin, s'agissant plus particulièrement de la mesure de placement à des fins d'assistance, sa situation fait de toute manière l'objet d'un réexamen périodique en application de l'art. 431 CC. Le refus de la juge de paix d'ouvrir une nouvelle enquête en mainlevée de la curatelle est donc fondé.</w:t>
      </w:r>
    </w:p>
    <w:p>
      <w:r>
        <w:rPr>
          <w:b/>
        </w:rPr>
        <w:t>E. 4</w:t>
      </w:r>
    </w:p>
    <w:p>
      <w:r>
        <w:t>En conclusion, le recours est rejeté dans la mesure où il est recevable et la décision confirmée. Les frais  judiciaires de deuxième instance, arrêtés à 300 fr. (art. 74a al. 1 TFJC [tarif du 28 septembre 2010 des frais judiciaires civils ; RSV 270.11.5]), sont mis à la charge de la  recourante. Par ces motifs, la Chambre des curatelles du Tribunal cantonal, statuant à huis clos, prononce : I. Le recours est rejeté dans la mesure où il est recevable. II. La décision est confirmée. III. Les frais judiciaires de deuxième instance, arrêtés à 300 fr. (trois cents francs), sont mis à la charge de la recourante Q.________. IV. L'arrêt est exécutoire. La présidente : La greffière : Du L'arrêt qui précède, dont la rédaction a été approuvée à huis clos, est notifié à : ‑ Q.________, - [...], Office des curatelles et tutelles professionnelles, et communiqué à : ‑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