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893 vom 8. Januar 2018</w:t>
      </w:r>
    </w:p>
    <w:p>
      <w:r>
        <w:t>VD Tribunal cantonal, 2018-01-08, FR</w:t>
      </w:r>
    </w:p>
    <w:p>
      <w:r>
        <w:rPr>
          <w:b/>
        </w:rPr>
        <w:t xml:space="preserve">Quelle: </w:t>
      </w:r>
      <w:r>
        <w:t>https://mcp.opencaselaw.ch/entscheid/vd_findinfo_Arr_t___2017___893</w:t>
      </w:r>
    </w:p>
    <w:p>
      <w:r>
        <w:t>FR: VD_FINDINFO Arrêt / 2017 / 893 du 8 janvier 2018</w:t>
      </w:r>
    </w:p>
    <w:p>
      <w:r>
        <w:t>IT: VD_FINDINFO Arrêt / 2017 / 893 del 8 gennaio 2018</w:t>
      </w:r>
    </w:p>
    <w:p>
      <w:pPr>
        <w:pStyle w:val="Heading2"/>
      </w:pPr>
      <w:r>
        <w:t>Regeste</w:t>
      </w:r>
    </w:p>
    <w:p>
      <w:r>
        <w:t>REJET DE LA DEMANDE, PRESTATION D'ASSURANCE{AA}, DROIT D'ÊTRE ENTENDU, LÉSION DE LA MAIN, INDEMNITÉ JOURNALIÈRE, RENTE POUR ATTEINTE À L'INTÉGRITÉ, ÉVALUATION DE L'INCAPACITÉ DE TRAVAIL, INDEMNITÉ POUR ATTEINTE À L'INTÉGRITÉ | 3 Cst-VD, 29 al. 2 Cst., 70 Cst., 8 al. 2 Cst., 18 al. 1 LAA, 19 al. 1 LAA, 24 al. 1 LAA, 25 LAA, 36 al. 1 OLAA</w:t>
      </w:r>
    </w:p>
    <w:p>
      <w:pPr>
        <w:pStyle w:val="Heading2"/>
      </w:pPr>
      <w:r>
        <w:t>Erwägungen</w:t>
      </w:r>
    </w:p>
    <w:p>
      <w:r>
        <w:rPr>
          <w:b/>
        </w:rPr>
        <w:t>E. 8</w:t>
      </w:r>
    </w:p>
    <w:p>
      <w:r>
        <w:t>Le recourant reproche encore à l’intimée de ne pas avoir entrepris des démarches en vue d’une réadaptation professionnelle. On rappelle à cet égard que les prestations de l’assurance-accidents ne comprennent pas de mesures destinées à la réadaptation professionnelle, lesquelles relèvent exclusivement de l’assurance-invalidité. Le grief selon lequel la CNA n’aurait pas examiné cette problématique doit dès lors être écarté.</w:t>
      </w:r>
    </w:p>
    <w:p>
      <w:r>
        <w:rPr>
          <w:b/>
        </w:rPr>
        <w:t>E. 9</w:t>
      </w:r>
    </w:p>
    <w:p>
      <w:r>
        <w:t>En dernier lieu, le recourant remet en cause l’estimation de l’indemnité pour atteinte à l’intégrité faite par l’intimée. a) Selon l’art. 24 al. 1 LAA,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 / Moser-Szeless,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et les références citées)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l’espèce, pour déterminer le taux de l’atteinte à l’intégrité, l’intimée s’est fondée sur l’avis du 18 avril 2016 du Dr W.________. Se référant à la table 1 du document Indemnisation des atteintes à l’intégrité selon la LAA, qui prévoit une indemnité pour atteinte à l’intégrité de 15 % en cas de paralysie du nerf médian distal, le médecin a fixé le droit à l’indemnité pour atteinte à l’intégrité à 15 %. Il a relevé que la table 3 des indemnisations des atteintes à l’intégrité selon la LAA – relatif notamment à la perte du pouce et des deux premiers doigts – ne pouvait pas s’appliquer dès lors que le recourant n’avait pas perdu des segments, mais qu’il avait partiellement perdu la fonction de ces trois doigts. Le recourant fait valoir qu’il a également subi une atteinte à son poignet, à son coude, à son épaule ainsi qu’à la partie droite de sa nuque, vu les douleurs qu’il ressent. c) Comme rappelé ci-dessus, l’atteinte à l’intégrité doit être évaluée exclusivement sur la base de constatations médicales objectives (consid. 9a supra ). A la suite de l’ENMG réalisé le 11 août 2014 dans le cadre du séjour à la Clinique X.________, les médecins ont diagnostiqué une légère souffrance axonale des fibres sensitives du nerf médian droit, dirigé sur le deuxième et le troisième doigts, par compression au niveau distal du poignet, ce qui correspond à l’atteinte retenue par le Dr W.________. Le recourant n’allègue aucun élément précis qui mettrait en évidence l’existence d’une autre atteinte à la santé dont il conviendrait de tenir compte. En particulier, le rapport du 3 janvier 2017 du Dr Z.________ produit par le recourant ne renseigne pas sur la question de l’atteinte durable à l’intégrité, ni sur le lien de causalité, de sorte qu’il n’est d’aucun secours sur ce point. A titre superfétatoire, il convient de relever que les douleurs invoquées par le recourant ont un caractère évolutif, ce qui est confirmé par les différents rapports médicaux (notamment rapport du 9 septembre 2014 de la Clinique X.________ ; rapport du 14 septembre 2015 des Drs B.________ et C.________), et ne sauraient par conséquent être retenus à titre d’indemnité pour atteinte à l’intégrité qui concerne les atteintes durables, soit celles qui subsisteront avec au moins la même gravité pendant toute la vie (Frésard / Moser-Szeless, op. cit. , n° 313, p 999). Le recourant n’apporte donc aucun élément permettant de douter de l’évaluation faite par l’intimée.</w:t>
      </w:r>
    </w:p>
    <w:p>
      <w:r>
        <w:rPr>
          <w:b/>
        </w:rPr>
        <w:t>E. 10</w:t>
      </w:r>
    </w:p>
    <w:p>
      <w:r>
        <w:t>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w:t>
      </w:r>
    </w:p>
    <w:p>
      <w:r>
        <w:rPr>
          <w:b/>
        </w:rPr>
        <w:t>E. 11</w:t>
      </w:r>
    </w:p>
    <w:p>
      <w:r>
        <w:t>a) Il résulte de ce qui précède que le recours, mal fondé, doit être rejeté et la décision attaquée confirmée.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