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833 vom 28. März 2018</w:t>
      </w:r>
    </w:p>
    <w:p>
      <w:r>
        <w:t>VD Tribunal cantonal, 2018-03-28, FR</w:t>
      </w:r>
    </w:p>
    <w:p>
      <w:r>
        <w:rPr>
          <w:b/>
        </w:rPr>
        <w:t xml:space="preserve">Quelle: </w:t>
      </w:r>
      <w:r>
        <w:t>https://mcp.opencaselaw.ch/entscheid/vd_findinfo_Arr_t___2017___833</w:t>
      </w:r>
    </w:p>
    <w:p>
      <w:r>
        <w:t>FR: VD_FINDINFO Arrêt / 2017 / 833 du 28 mars 2018</w:t>
      </w:r>
    </w:p>
    <w:p>
      <w:r>
        <w:t>IT: VD_FINDINFO Arrêt / 2017 / 833 del 28 marzo 2018</w:t>
      </w:r>
    </w:p>
    <w:p>
      <w:pPr>
        <w:pStyle w:val="Heading2"/>
      </w:pPr>
      <w:r>
        <w:t>Regeste</w:t>
      </w:r>
    </w:p>
    <w:p>
      <w:r>
        <w:t>TENUE DU MÉNAGE, MÉTHODE MIXTE D'ÉVALUATION, DEGRÉ DE L'INVALIDITÉ | 28a al. 1 LAI, 28a al. 2 LAI, 28a al. 3 LAI, 25 al. 1 let. b RAI</w:t>
      </w:r>
    </w:p>
    <w:p>
      <w:pPr>
        <w:pStyle w:val="Heading2"/>
      </w:pPr>
      <w:r>
        <w:t>Erwägungen</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 ATF 124 V 90 consid. 4b et 122 V 157 consid. 1d). b) En l’espèce, le dossier étant complet, permettant ainsi au tribunal de statuer en pleine connaissance de cause, il n'y a pas lieu de donner suite à la mesure d'instruction requise par la recourante, à savoir la mise en œuvre d'une expertise bi-disciplinaire comportant au moins un volet psychiatrique. Une telle expertise ne serait en effet pas de nature à modifier les considérations qui précèdent, les faits pertinents ayant pu être constatés à satisfaction de droit.</w:t>
      </w:r>
    </w:p>
    <w:p>
      <w:r>
        <w:rPr>
          <w:b/>
        </w:rPr>
        <w:t>E. 9</w:t>
      </w:r>
    </w:p>
    <w:p>
      <w:r>
        <w:t>a) En définitive,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 art. 49 al. 1 LPA-VD). Il n'y a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