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748 vom 26. Oktober 2017</w:t>
      </w:r>
    </w:p>
    <w:p>
      <w:r>
        <w:t>VD Tribunal cantonal, 2017-10-26, FR</w:t>
      </w:r>
    </w:p>
    <w:p>
      <w:r>
        <w:rPr>
          <w:b/>
        </w:rPr>
        <w:t xml:space="preserve">Quelle: </w:t>
      </w:r>
      <w:r>
        <w:t>https://mcp.opencaselaw.ch/entscheid/vd_findinfo_Arr_t___2017___748</w:t>
      </w:r>
    </w:p>
    <w:p>
      <w:r>
        <w:t>FR: VD_FINDINFO Arrêt / 2017 / 748 du 26 octobre 2017</w:t>
      </w:r>
    </w:p>
    <w:p>
      <w:r>
        <w:t>IT: VD_FINDINFO Arrêt / 2017 / 748 del 26 ottobre 2017</w:t>
      </w:r>
    </w:p>
    <w:p>
      <w:pPr>
        <w:pStyle w:val="Heading2"/>
      </w:pPr>
      <w:r>
        <w:t>Regeste</w:t>
      </w:r>
    </w:p>
    <w:p>
      <w:r>
        <w:t>DÉCISION D'IRRECEVABILITÉ, RECONSIDÉRATION, NOUVEAU MOYEN DE FAIT | 53 al. 1 LPGA, 53 al. 2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(cf. art. 1 al.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58 LPGA et art. 69 al. 1 let. a LAI).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En l’occurrence, le recours a certes été interjeté en temps utile selon les formes prescrites par la loi (cf. art. 61 let. b LPGA notamment). Pour autant, la recevabilité du recours introduit le 20 octobre 2016 par N.________ doit être niée, pour les motifs exposés dans les considérants qui suivent.</w:t>
      </w:r>
    </w:p>
    <w:p>
      <w:r>
        <w:rPr>
          <w:b/>
        </w:rPr>
        <w:t>E. 2</w:t>
      </w:r>
    </w:p>
    <w:p>
      <w:r>
        <w:t>Préalablement, il convient de souligner que le recours est dirigé contre la décision rendue le 22 septembre 2016 par l’office AI. En tant que ce dernier est l’auteur de la décision attaquée, il a seul la qualité pour agir comme partie intimée. D’un point de vue procédural, seules ses conclusions sont donc déterminantes (cf. art. 41 al. 1 let. i RAI [règlement fédéral du 17 janvier 1961 sur l’assurance-invalidité ; RS 831.201]). La prise de position de la Caisse de compensation AVS/AI/APG A.________ du 31 janvier 2017 constitue un élément qu’il y a lieu d’apprécier comme tout autre moyen de preuve.</w:t>
      </w:r>
    </w:p>
    <w:p>
      <w:r>
        <w:rPr>
          <w:b/>
        </w:rPr>
        <w:t>E. 3</w:t>
      </w:r>
    </w:p>
    <w:p>
      <w:r>
        <w:t>La notification ultérieure d’une décision rectifiée fait courir un nouveau délai de recours, mais uniquement à l'encontre des éléments de la décision qui ont fait l'objet de la rectification (ATF 119 II 482 consid. 3 et les références). Selon ce principe, il y a lieu de considérer que la décision du 10 septembre 2015 est entrée en force, à l’exception des points qui ont été modifiés dans le cadre de la décision du 22 septembre 2016, à savoir la période pour laquelle l’indemnité journalière est allouée. Autrement dit, en tant que le recours a pour objet les bases de calcul de l’indemnité journalière, il se heurte à la force de chose décidée de la décision du 10 septembre 2015 (cf. TF 9C_711/2009 du 26 février 2010 consid. 3).</w:t>
      </w:r>
    </w:p>
    <w:p>
      <w:r>
        <w:rPr>
          <w:b/>
        </w:rPr>
        <w:t>E. 4</w:t>
      </w:r>
    </w:p>
    <w:p>
      <w:r>
        <w:t>Dans la mesure où la décision fixant le montant de l’indemnité journalière est entrée en force, une modification de ce montant ne peut entrer en considération que pour autant que les conditions d’une révision procédurale (art. 53 al. 1 LPGA) ou d’une reconsidération (art. 53 al. 2 LPGA) sont réalisées. a)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Cette disposition fixe les conditions d’une révision dite "procédurale" d’une décision entrée en force. Sont "nouveaux" au sens de l’art. 53 al. 1 LPGA,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 TF 9C_589/2013 du 2 mai 2014 consid. 4.2). Dans la mesure où l’assuré connaissait au moment de la décision du 10 septembre 2015 l’existence des montants non pris en compte dans la fixation du revenu déterminant fondant le calcul de l’indemnité journalière octroyée, ceux-ci ne constituent pas des faits nouveaux justifiant une révision procédurale. b)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Toutefois, l'administration n'est pas tenue de reconsidérer les décisions qui remplissent les conditions fixées; elle en a simplement la faculté et ni l'assuré ni le juge ne peut l'y contraindre ni, à plus forte raison, lui prescrire, à défaut d’une règle positive, les modalités d’un tel examen (ATF 119 V 180 consid. 3b ; TF 9C_836/2010 du 20 mai 2011 consid. 3.2, in SVR 2011 EL n° 8 p. 25). Le corollaire en est que les décisions portant sur un refus d'entrer en matière sur une demande de reconsidération ne peuvent pas faire l'objet d'un contrôle en justice (ATF 133 V 50 consid. 4.1; 119 V 475 consid. 1b/cc; 117 V 8 consid. 2a; TF 8C_866/2009 du 27 avril 2010 consid. 2.2). Une administration refuse d'entrer en matière sur une demande de reconsidération lorsqu'elle se borne à procéder à un examen sommaire de la requête et répète les motifs invoqués dans la décision initiale (ATF 117 V 8 consid. 2b/aa). Il suit de là que, même à supposer que la Cour de céans doive se considérer comme saisie sous l’angle d’un refus d’entrer en matière sur la demande de reconsidération présentée le 20 octobre 2016, celui-ci ne peut être contesté en justice, d’une part, à défaut d’une règle positive prescrivant les modalités d’un tel réexamen et, d’autre part, en l’absence de décision formelle rendue par l’autorité intimée sur ce point.</w:t>
      </w:r>
    </w:p>
    <w:p>
      <w:r>
        <w:rPr>
          <w:b/>
        </w:rPr>
        <w:t>E. 5</w:t>
      </w:r>
    </w:p>
    <w:p>
      <w:r>
        <w:t>En définitive, le recours interjeté par N.________ le 20 octobre 2016 doit être déclaré irrecevable.</w:t>
      </w:r>
    </w:p>
    <w:p>
      <w:r>
        <w:rPr>
          <w:b/>
        </w:rPr>
        <w:t>E. 6</w:t>
      </w:r>
    </w:p>
    <w:p>
      <w:r>
        <w:t>Le recourant n’obtenant pas gain de cause, il ne peut prétendre à des dépens en sa faveur (art. 61 let. g LPGA). Par ailleurs, la procédure en matière d’assurance-invalidité étant onéreuse, il doit supporter les frais de justice qu’il convient d’arrêter à 400 fr. (art. 69 al. 1 bis LAI et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