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722 vom 15. August 2017</w:t>
      </w:r>
    </w:p>
    <w:p>
      <w:r>
        <w:t>VD Tribunal cantonal, 2017-08-15, FR</w:t>
      </w:r>
    </w:p>
    <w:p>
      <w:r>
        <w:rPr>
          <w:b/>
        </w:rPr>
        <w:t xml:space="preserve">Quelle: </w:t>
      </w:r>
      <w:r>
        <w:t>https://mcp.opencaselaw.ch/entscheid/vd_findinfo_Arr_t___2017___722</w:t>
      </w:r>
    </w:p>
    <w:p>
      <w:r>
        <w:t>FR: VD_FINDINFO Arrêt / 2017 / 722 du 15 août 2017</w:t>
      </w:r>
    </w:p>
    <w:p>
      <w:r>
        <w:t>IT: VD_FINDINFO Arrêt / 2017 / 722 del 15 agosto 2017</w:t>
      </w:r>
    </w:p>
    <w:p>
      <w:pPr>
        <w:pStyle w:val="Heading2"/>
      </w:pPr>
      <w:r>
        <w:t>Regeste</w:t>
      </w:r>
    </w:p>
    <w:p>
      <w:r>
        <w:t>CURATELLE DE REPRÉSENTATION{ART. 394 CC}, SUPPRESSION{EN GÉNÉRAL}, DROIT D'ÊTRE ENTENDU, ADMISSION DE LA DEMANDE, NULLITÉ | 306 al. 2 CC, 450 CC, 29 al. 2 Cst.</w:t>
      </w:r>
    </w:p>
    <w:p>
      <w:pPr>
        <w:pStyle w:val="Heading2"/>
      </w:pPr>
      <w:r>
        <w:t>Erwägungen</w:t>
      </w:r>
    </w:p>
    <w:p>
      <w:r>
        <w:rPr>
          <w:b/>
        </w:rPr>
        <w:t>E. 1</w:t>
      </w:r>
    </w:p>
    <w:p>
      <w:r>
        <w:t>Le recours est dirigé contre une décision de la justice de paix levant une curatelle de représentation de mineur à forme de l’art. 306 al. 2 CC instituée en faveur d’un enfant à la suite du décès de sa mère.</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 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le grand-père et curateur de l’enfant concerné, partie à la procédure, le présent recours est recevable. Il en va de même des pièces produites en deuxième instance, si tant est qu’elles ne figurent pas déjà au dossier. Interpellée, l'autorité de protection a, par courrier du 30 juin 2017, renoncé à se déterminer, se référant intégralement au contenu de sa décision. Quant au père de l’enfant, un délai lui a été imparti pour déposer une réponse par avis du 29 juin 2017. Il n’a toutefois pas retiré ce pli, qui est censé lui avoir été notifié (art. 138 al. 3 let. a CPC, applicable par renvoi de l’art. 450f CC ; ATF 141 II 429).</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w:t>
      </w:r>
    </w:p>
    <w:p>
      <w:r>
        <w:t>En l'espèce, aucune des parties n’a été entendue par la justice de paix, que ce soit le curateur, le père de l’enfant ou ce dernier. Le droit d’être entendu des intéressés a ainsi été violé. Toutefois, le vice a été réparé en deuxième instance, compte tenu du plein pouvoir d’examen de la Chambre de Céans en fait et en droit. D’autre part, le recours devant être admis sur le fond pour les motifs qui suivent, une annulation constituerait une vaine formalité.</w:t>
      </w:r>
    </w:p>
    <w:p>
      <w:r>
        <w:rPr>
          <w:b/>
        </w:rPr>
        <w:t>E. 3</w:t>
      </w:r>
    </w:p>
    <w:p>
      <w:r>
        <w:t>Le recourant s’oppose à la levée de la curatelle de représentation de mineur au sens de l’art. 306 al. 2 CC au motif que le conflit d’intérêts entre les intérêts économiques du père et ceux de son fils subsiste, la question de l’attribution du 2 ème pilier n’ayant pas encore été réglée. Il affirme que la mesure de surveillance des biens à forme de l’art. 322 al. 2 CC instituée le 15 décembre 2016 n’est pas suffisante pour préserver ces biens.</w:t>
      </w:r>
    </w:p>
    <w:p>
      <w:r>
        <w:rPr>
          <w:b/>
        </w:rPr>
        <w:t>E. 3.1</w:t>
      </w:r>
    </w:p>
    <w:p>
      <w:r>
        <w:t>L'art. 306 al. 2 CC prévoit que, si, dans une affaire, les intérêts des père et mère entrent en conflit avec ceux de l'enfant, l'autorité de protection de l'enfant nomme un curateur ou prend elle-même les mesures nécessaires. Il est évident que, si l'enfant est incapable de discernement, un curateur devra être désigné en cas de conflit d'intérêts. En revanche, si l’enfant est capable de discernement, il devrait pouvoir bénéficier, en relation avec les biens libérés, de la capacité civile active quel que soit l’acte accompli (Steinauer/Fountoulakis, Droit des personnes physiques et de la protection de l'adulte, 2014, n. 257, p. 89). L’existence d’un conflit d’intérêts se détermine de manière abstraite et non concrète (ATF 118 II 101 ; ATF 107 II 105 ; ATF 68 II 342 s’agissant d’un partage successoral entre l’enfant et son père).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Berne 2013, n. 27 ad art. 365 CC et les réf. citées, p. 158). L’existence d’un conflit d’intérêts entraîne de plein droit l’extinction du pouvoir de représentation du parent (art. 306 al. 3 CC ; Meier/Stettler, Droit de la filiation,</w:t>
      </w:r>
    </w:p>
    <w:p>
      <w:r>
        <w:rPr>
          <w:b/>
        </w:rPr>
        <w:t>E. 3.2</w:t>
      </w:r>
    </w:p>
    <w:p>
      <w:r>
        <w:t>L’art. 322 CC prévoit que la réserve héréditaire de l’enfant peut aussi, par disposition pour cause de mort, être soustraite à l’administration des père et mère (al. 1) et que si le disposant remet l’administration à un tiers, l’autorité de protection peut astreindre celui-ci à présenter périodiquement un rapport et des comptes (al. 2 ; Meier/Stettler, op. cit., n. 968, p. 641 ; Papaux van Delden, Commentaire romand, Code Civil I, n. 12 ad art. 321/322 CC, p. 1989). La soustraction des biens au pouvoir de la représentation légale ordinaire, parce que l’auteur de la libéralité a privé les détenteurs de l’autorité parentale ou le tuteur du pouvoir d’administration, vise non pas à le laisser à l’enfant lui-même, mais à le confier à des tiers (Meier/Stettler, op. cit., n. 930, p. 620). L’administration des biens de l’enfant prend en principe fin en même temps que l’autorité parentale. Lorsque l’autorité parentale cesse à son échéance « normale », les biens sont remis à l’enfant majeur ou, en cas de curatelle, à son représentant légal (Meier/Stettler, op. cit., nn. 971 et 972, p. 643 ; Papaux van Delden, op. cit., n. 10 ad art. 321/322 CC, p. 1989). Toutefois, le disposant peut prévoir un terme ou être limité dans le temps par l’avènement d’une condition ou l’instauration d’une charge et l’ordonnance de soustraction ne doit pas être illicite ou contraire aux mœurs, voire purement vexatoire pour les parents (Papaux van Delden, op. cit., n. 14 ad art. 321/322 CC, p. 1990). Les prétentions découlant de la LPP sont des droits propres du successeur et n’entrent pas dans la composition des biens extants de la succession (Steinauer, Le droit des successions, 2 e éd., Berne 2015, nn. 130 et 131, p. 104).</w:t>
      </w:r>
    </w:p>
    <w:p>
      <w:r>
        <w:rPr>
          <w:b/>
        </w:rPr>
        <w:t>E. 3.3</w:t>
      </w:r>
    </w:p>
    <w:p>
      <w:r>
        <w:t>En l’espèce, par convention du 29 mai 2015, les parties ont prévu, conformément au souhait de feu B.M.________, que la gestion et l’administration de l’entier du patrimoine dévolu à A.A.________, soit le capital et les rentes provenant des avoirs LPP de sa mère, seront confiées à ses grands-parents maternels. Selon une lettre du 3 novembre 2016, feu B.M.________ désirait protéger les avoirs de son fils au motif que le père de ce dernier était dépendant aux jeux d’argent. A ce stade, on ne sait pas si le risque de dépenses inconsidérées des biens de l’enfant avant sa majorité, risque que craignait la défunte, subsiste. De plus, la convention précitée ne prévoit aucun terme. La volonté de feu B.M.________ est dès lors présumée être de préserver le capital et les rentes LPP jusqu’à la majorité d’A.A.________. La convention mentionne du reste expressément que les grands-parents maternels s’engagent à administrer les biens dans l’intérêt de leur petit-fils, « notamment pour l’entretien et les études de ce dernier ». Enfin, il ressort des décisions entreprises que les prestations LPP, que ce soit le capital ou les rentes, n’ont pas encore été fixées. Il résulte de ce qui précède qu’il subsiste un risque de conflit d'intérêts entre les divers bénéficiaires potentiels, cela tant qu’une décision définitive de l’assureur LPP n’aura pas été rendue et que les fonds n’auront pas été alloués et placés de manière sûre, sous le contrôle des curateurs désignés. La levée de la mesure à forme de l’art. 306 al. 2 CC est dès lors prématurée. Au surplus, comme le relève à juste titre le recourant, la mesure prononcée le 15 décembre 2016 au sens de l’art. 322 al. 2 CC concerne la réserve de l’enfant. Or, les prétentions LPP n’entrent pas dans les biens extants et sont indépendantes de la succession. La mesure précitée n’est par conséquent pas suffisante pour préserver les intérêts de l’enfant.</w:t>
      </w:r>
    </w:p>
    <w:p>
      <w:r>
        <w:rPr>
          <w:b/>
        </w:rPr>
        <w:t>E. 3.4</w:t>
      </w:r>
    </w:p>
    <w:p>
      <w:r>
        <w:t>Le premier juge est invité à demander le transfert de for de la mesure de représentation à forme de l’art. 306 al. 2 CC à la Justice de paix du district d’Aigle. 4. En conclusion, le recours interjeté par A.M.________ doit être admis et la décision entreprise annulée. Le présent arrêt peut être rendu sans frais judiciaires (art. 74a al. 4 TFJC [Tarif du 28 septembre 2010 des frais judiciaires civils ; RSV 270.11.5]). L'avance de frais de 300 fr. effectuée par le recourant doit ainsi lui être restituée. Quand bien même le recourant obtient gain de cause et a procédé par l’intermédiaire d’un mandataire professionnel, il n’y a pas lieu de lui allouer de dépens de deuxième instance. En effet, la justice de paix n’a pas qualité de partie, mais d’autorité de première instance, de sorte qu’elle ne saurait être condamnée à des dépens (cf. Tappy, CPC commenté, Bâle 2011, n. 34 ad art. 107 CPC, p. 426 ; voir également l’arrêt rendu sous l’empire de l’ancien droit paru au JdT 2001 III 121, qui conserve sa pertinence). Le père de l’enfant pour sa part ne s’est pas déterminé et ne peut donc être considéré comme une partie qui aurait succombé au litige. Par ces motifs, la Chambre des curatelles du Tribunal cantonal, statuant à huis clos, prononce : I. Le recours est admis. II. La décision du 4 avril 2017 est annulée. III. L’arrêt est rendu sans frais judiciaires de deuxième instance, l’avance de frais, par 300 fr. (trois cents francs), étant restituée au recourant A.M.________. IV. Il n’est pas alloué de dépens de deuxième instance. V. L'arrêt est exécutoire. La présidente :              La greffière : Du L'arrêt qui précède, dont la rédaction a été approuvée à huis clos, est notifié à : ‑ Me Irène Schmidlin (pour A.M.________), ‑ B.A.________, et communiqué à : ‑ Justice de paix du district de la Riviera-Pays-d’Enhaut,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e éd., 2014, n. 942, p. 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