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661 vom 13. November 2017</w:t>
      </w:r>
    </w:p>
    <w:p>
      <w:r>
        <w:t>VD Tribunal cantonal, 2017-11-13, FR</w:t>
      </w:r>
    </w:p>
    <w:p>
      <w:r>
        <w:rPr>
          <w:b/>
        </w:rPr>
        <w:t xml:space="preserve">Quelle: </w:t>
      </w:r>
      <w:r>
        <w:t>https://mcp.opencaselaw.ch/entscheid/vd_findinfo_Arr_t___2017___661</w:t>
      </w:r>
    </w:p>
    <w:p>
      <w:r>
        <w:t>FR: VD_FINDINFO Arrêt / 2017 / 661 du 13 novembre 2017</w:t>
      </w:r>
    </w:p>
    <w:p>
      <w:r>
        <w:t>IT: VD_FINDINFO Arrêt / 2017 / 661 del 13 novembre 2017</w:t>
      </w:r>
    </w:p>
    <w:p>
      <w:pPr>
        <w:pStyle w:val="Heading2"/>
      </w:pPr>
      <w:r>
        <w:t>Regeste</w:t>
      </w:r>
    </w:p>
    <w:p>
      <w:r>
        <w:t>CAUSALITÉ ADÉQUATE, AA, ATTEINTE À LA SANTÉ PSYCHIQUE, ATTEINTE À LA SANTÉ PHYSIQUE, CAUSALITÉ NATURELLE, HERNIE DISCALE | 6 al. 1 LAA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trente jours suivant la notification de la décision querellée (art. 57, 58 et 60 al. 1 LPGA). En l’espèce, le recours a été interjeté en temps utile et satisfait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droit du recourant aux prestations d'assurance au-delà du 22 février 2016, singulièrement sur l'existence d'un rapport de causalité entre l'accident et les troubles allégués au niveau de la jambe droite et du bas du dos.</w:t>
      </w:r>
    </w:p>
    <w:p>
      <w:r>
        <w:rPr>
          <w:b/>
        </w:rPr>
        <w:t>E. 2.3</w:t>
      </w:r>
    </w:p>
    <w:p>
      <w:r>
        <w:t>et les références citées). Le seul fait que des symptômes douloureux ne se sont manifestés qu’après la survenance d’un accident ne suffit pas à établir un rapport de causalité naturelle avec cet accident (raisonnement post hoc ergo propter hoc ; cf. ATF 119 V 335 consid. 2b/bb ; TF 8C_42/2009 du 1 er octobre 2009 consid. 2.2 ;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(TF 8C_463/2009 du 23 novembre 2009 consid. 3). Est seul décisif le point de savoir si les causes accidentelles d’une atteinte à la santé ne jouent plus de rôle et doivent ainsi être considérées comme ayant disparu (TF U 172/06 du 10 mai 2007 consid. 6.2 et les références citées ; U 307/05 du 8 janvier 2007 consid. 4 ; TFA U 222/04 du 30 novembre 2004 consid. 1.3).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citées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 aa) Dans une large majorité des situations l’existence d’un lien de causalité entre l’atteinte à la santé et l’accident ne pose pas de difficultés. C’est le cas pour la plupart des atteintes à la santé physique (TF 8C_726/2008 du 14 mai 2009 consid. 2.1 et les références citées). La situation est différente en cas d’atteinte psychique ( Ghislaine Frésard-Fellay/Bettina Kahil-Wolff/Stéphanie Perrenoud , Droit suisse de la sécurité sociale, Volume II, 1 ère édition, Berne 2015, p. 379 n° 160). En cas d’atteinte à la santé psychique,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 8C_77/2009 du 4 juin 2009 consid. 4.1.1 et les références citées). bb)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TF 8C_1007/2012 du 11 décembre 2013 consid. 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 8C_98/2015 du 18 juin 2015 consid. 4.1 ; 8C_897/2009 du 29 janvier 2009 consid. 4.1 et 4.5).</w:t>
      </w:r>
    </w:p>
    <w:p>
      <w:r>
        <w:rPr>
          <w:b/>
        </w:rPr>
        <w:t>E. 3</w:t>
      </w:r>
    </w:p>
    <w:p>
      <w:r>
        <w:t>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citées).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 cf. TF 8C_414/2011 du 2 avril 2012 consid. 3.2 et les références citées ; 8C_726/2008 du 14 mai 2009 consid.</w:t>
      </w:r>
    </w:p>
    <w:p>
      <w:r>
        <w:rPr>
          <w:b/>
        </w:rPr>
        <w:t>E. 4</w:t>
      </w:r>
    </w:p>
    <w:p>
      <w:r>
        <w:t>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En ce qui concerne les rapports des médecins des assureurs, ceux-ci peuvent également se voir reconnaître une valeur probante aussi longtemps qu’ils aboutissent à des résultats convaincants, que leurs contradictions soient bien motivées, que ces avis ne contiennent pas de contradictions et qu’aucun indice concret ne permette de remettre en cause leur bien-fondé (ATF 125 V 351 consid. 3b/ee et les références citées ; TF 8C_862/2008 du 19 août 2009 consid. 4.2 ; 8C_565/2008 du 27 janvier 2009 consid. 3.3.2).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 TF 8C_565/2008 du 27 janvier 2009, consid. 3.3.2.).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U 316/06 du 6 juillet 2007 consid. 3.1.1). Le devoir d’instruction s’étend jusqu’à ce que les faits nécessaires à l’examen des prétentions en cause soient suffisamment élucidés (TF 8C_364/2007 du 19 novembre 2007 consid. 3.2).</w:t>
      </w:r>
    </w:p>
    <w:p>
      <w:r>
        <w:rPr>
          <w:b/>
        </w:rPr>
        <w:t>E. 5</w:t>
      </w:r>
    </w:p>
    <w:p>
      <w:r>
        <w:t>En l’espèce, le recourant soutient qu’il présente encore des atteintes en lien avec l’accident du 30 mars 2015, arguant du fait qu’avant ledit événement accidentel, il ne présentait pas les troubles dont il souffre actuellement. a) Sur le plan somatique, le rapport du scanner du bassin du 2 avril 2015 a démontré qu’il n’existait pas d’anomalie au niveau du bassin, ni de fracture. L’IRM lombaire du 10 avril 2015 a en particulier permis d’exclure toute forme d’atteinte au niveau du bassin. Seule une déshydratation des disques L5-S1, sans discopathie avec image de rupture de l’anneau fibreux postérieur médian, avec discrète réaction inflammatoire du voisinage, sans contrainte radiculaire ou médullaire, a été mise en évidence. Quant au rapport d’IRM lombaire et du bassin du 29 décembre 2015, il présente des conclusions assez largement superposables. Il est ainsi fait état d’une discopathie L5-S1 avec petite protrusion médiane et déchirure de l’anneau fibreux, et d’une légère contrainte méningée mais sans signe de contrainte radiculaire sur l’ensemble des niveaux examinés. Comme l’a relevé le Dr N.________ de la CNA sans être contredit, il s’agit là de troubles dégénératifs de l’espace L5/S1 sous la forme d’un desséchement du disque intervertébral associé à une rupture maladive et dégénérative de l’anneau fibreux, sans aucune contrainte nerveuse, associée à une scoliose lombaire. Le Dr N.________ a au demeurant exposé de façon claire et détaillée les raisons le conduisant à exclure, dans le cas d’espèce, que l’atteinte du disque L5-S1 puisse être reconnue comme secondaire à un accident. En effet, il a relevé que pour qu’une atteinte intervertébrale puisse être reconnue comme étant post-traumatique, il faut notamment que le mécanisme accidentel survienne à haute énergie (saut d’une hauteur considérable ou collision entre véhicules à très haute vitesse) et que toute atteinte rachidienne dégénérative antérieure à l’événement puisse être exclue. Il a en revanche admis que l’événement du 30 mars 2015 a pu décompenser l’état maladif rachidien préexistant de manière passagère. Il n’est pas contesté que le Dr N.________ a établi son appréciation médicale sur la base des pièces au dossier. Il s’est notamment fondé sur les rapports de scanner du 2 avril 2015 et d’IRM des 10 avril et 29 décembre 2015. Il a tenu compte de l’ensemble des éléments au dossier portés à sa connaissance, notamment des plaintes signalées par le recourant. Enfin, son appréciation ne contient aucune contradiction. L’évaluation du Dr N.________ satisfait dès lors aux réquisits jurisprudentiels permettant de lui reconnaître une pleine valeur probante. De plus,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 8C_373/2013 du 11 mars 2014 consid. 3.3 ; 8C_1003/2010 du 22 novembre 2011 consid. 1.3 ; 8C_486/2007 du 4 avril 2008 consid. 4.3.1 ; RAMA 2000 n° U 378 p. 190 consid. 3 et n° U 379 p. 192 consid. 2a).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44/04 du 13 juin 2005 consid. 3.1). Une 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(TFA U 282/06 du 4 juin 2007 consid. 3.3 ; U 179/03 du</w:t>
      </w:r>
    </w:p>
    <w:p>
      <w:r>
        <w:rPr>
          <w:b/>
        </w:rPr>
        <w:t>E. 7</w:t>
      </w:r>
    </w:p>
    <w:p>
      <w:r>
        <w:t>a) Il résulte de ce qui précède que le recours, mal fondé, doit être rejeté et la décision litigieuse confirmée. b) La procédure étant gratuite (art. 61 let. a LPGA), il n’est pas perçu de frais de justice. Il n’y a pas lieu d’allouer de dépens, ni au recourant qui succombe et n’est plus assisté (61 let. g LPGA et art. 55 al. 1 LPA-VD), ni à l’intimée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