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600 vom 3. September 2018</w:t>
      </w:r>
    </w:p>
    <w:p>
      <w:r>
        <w:t>VD Tribunal cantonal, 2018-09-03, FR</w:t>
      </w:r>
    </w:p>
    <w:p>
      <w:r>
        <w:rPr>
          <w:b/>
        </w:rPr>
        <w:t xml:space="preserve">Quelle: </w:t>
      </w:r>
      <w:r>
        <w:t>https://mcp.opencaselaw.ch/entscheid/vd_findinfo_Arr_t___2017___600</w:t>
      </w:r>
    </w:p>
    <w:p>
      <w:r>
        <w:t>FR: VD_FINDINFO Arrêt / 2017 / 600 du 3 septembre 2018</w:t>
      </w:r>
    </w:p>
    <w:p>
      <w:r>
        <w:t>IT: VD_FINDINFO Arrêt / 2017 / 600 del 3 settembre 2018</w:t>
      </w:r>
    </w:p>
    <w:p>
      <w:pPr>
        <w:pStyle w:val="Heading2"/>
      </w:pPr>
      <w:r>
        <w:t>Regeste</w:t>
      </w:r>
    </w:p>
    <w:p>
      <w:r>
        <w:t>CAUSALITÉ ADÉQUATE, CAUSALITÉ NATURELLE, ACCIDENT DE LA CIRCULATION, ACCIDENT DE GRAVITÉ MOYENNE, ASSISTANCE JUDICIAIRE, REJET DE LA DEMANDE, TRAUMATISME CERVICAL | 6 al. 1 LAA</w:t>
      </w:r>
    </w:p>
    <w:p>
      <w:pPr>
        <w:pStyle w:val="Heading2"/>
      </w:pPr>
      <w:r>
        <w:t>Erwägungen</w:t>
      </w:r>
    </w:p>
    <w:p>
      <w:r>
        <w:rPr>
          <w:b/>
        </w:rPr>
        <w:t>E. 3</w:t>
      </w:r>
    </w:p>
    <w:p>
      <w:r>
        <w:t>septembre 2018 ______________________ Composition :               Mme Dessaux , présidente Mme Férolles et M. de Goumoëns, assesseurs Greffier : M.              Addor ***** Cause pendante entre : R.________ , à W.________, recourante, représentée par Me Alessandro Brenci, avocat à Lausanne, et CAISSE NATIONALE SUISSE D’ASSURANCE EN CAS D’ACCIDENTS , à Lucerne, intimée, représentée par Me Didier Elsig, avocat à Lausanne. _______________ Art.</w:t>
      </w:r>
    </w:p>
    <w:p>
      <w:r>
        <w:rPr>
          <w:b/>
        </w:rPr>
        <w:t>E. 6</w:t>
      </w:r>
    </w:p>
    <w:p>
      <w:r>
        <w:t>al. 1 LAA E n  f a i t  : A. Ressortissante helvétique née en 1972, R.________ (ci-après : l’assurée ou la recourante) a travaillé dès le 1 er janvier 2011 en tant qu’opératrice pour le compte de l’entreprise B.________ SA. A ce titre, elle était assurée contre les risques d’accidents professionnels et non professionnels auprès de la Caisse nationale suisse d’assurance en cas d’accidents (ci-après : la CNA ou l’intimée). En date du 7 mai 2015, l’assurée a été victime d’un accident de la voie publique : alors que la voiture de l’assurée se trouvait arrêtée dans une file de véhicules pour les besoins du trafic, la conductrice d’une automobile, momentanément inattentive, n’a pas remarqué que les deux véhicules qui la précédaient étaient à l’arrêt, si bien qu’elle a provoqué une collision avec la voiture qui la précédait, laquelle, sous l’effet du choc, a percuté par l’arrière l’automobile de l’assurée. Le même jour, l’assurée a fait l’objet d’un examen en raison de douleurs à la nuque. Les radiographies de la colonne cervicale du 7 mai 2015 décrivaient une raideur segmentaire avec effacement de la lordose physiologique sans trouble de la statique dans le plan frontal alors qu’une cervicarthrose était notée en C5-C6. Sur la fiche documentaire pour la première consultation après un traumatisme d’accélération cranio-cérébral complétée le 16 juin 2015, la Dresse A.________, médecin assistante à l’Hôpital O.________ (site de H.________), a diagnostiqué une distorsion cervicale de degré II selon la classification Québec Task Force (cervicalgies et limitation de la mobilité avec point douloureux). Il n’y a pas eu de perte de connaissance ni de trouble de la mémoire. En outre, aucune réaction de peur ou de frayeur n’a été constatée. L’intéressée ne présentait pas non plus de céphalées, de vertiges, de nausées, de vomissements, de troubles de l’audition, de la vue ou du sommeil. L’examen neurologique était dans les normes. Le 16 juin 2015, la Dresse X.________, spécialiste en neurologie, a procédé à l’examen de l’assurée en raison de vertiges et de cervicalgies persistantes après l’accident du 7 mai précédent. Dans son rapport du même jour, elle a posé le diagnostic de probable syndrome post-traumatique après un traumatisme cranio-cérébral et traumatisme cervical indirect mineur ainsi qu’un possible tunnel carpien débutant. Elle a relevé que l’intéressée avait subi un accident avec traumatisme cervical indirect et traumatisme cérébral indirect par mécanisme de whiplash, ayant entraîné d’emblée des cervicalgies importantes, des troubles de l’équilibre, une fatigue et des troubles sensitifs subjectifs de la mâchoire gauche. L’examen clinique montrait une hypoesthésie tactile touchant la partie inférieure de l’hémiface gauche, ne correspondant pas au territoire du nerf trijumeau et une instabilité non latéralisée lors des tests de l’équilibre, tant les yeux ouverts que les yeux fermés, mais sans autre élément pour une atteinte de l’équilibre ni élément pour une atteinte vestibulaire. Elle a encore indiqué que si l’évolution était défavorable, il convenait d’envisager un soutien psychologique afin d’éviter une détérioration thymique susceptible d’aggraver la symptomatologie. Dans un rapport médical intermédiaire du 12 octobre 2015, la Dresse Z.________, spécialiste en chirurgie, a indiqué que lors de sa dernière consultation auprès d’elle, le 17 juillet 2015, l’assurée présentait toujours des cervicalgies, des crânialgies ainsi que des troubles de la vision accompagnés de vertiges. L’assurée a séjourné à la Clinique N.________ du 16 au 18 novembre 2015 aux fins d’une évaluation interdisciplinaire, comportant un examen psychiatrique et neurologique (Dr E.________, spécialiste en neurologie) ainsi qu’une évaluation des capacités fonctionnelles. Dans leur rapport du 23 novembre 2015, les Drs L.________, spécialiste en neurologie, et F.________, spécialiste en médecine interne et en rhumatologie, ont posé les diagnostics primaires de traumatisme cervical indirect le 7 mai 2015 et de discopathie C5-C6. Diverses co-morbidités étaient en outre retenues. Ils se sont exprimés comme suit en conclusion de leur rapport : « (…) Le</w:t>
      </w:r>
    </w:p>
    <w:p>
      <w:r>
        <w:rPr>
          <w:b/>
        </w:rPr>
        <w:t>E. 7</w:t>
      </w:r>
    </w:p>
    <w:p>
      <w:r>
        <w:t>La recourante sollicite la mise en œuvre d’une expertise médicale.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(sur l'appréciation anticipée des preuves: ATF 141 I 60 consid. 3.3; 136 I 229 consid. 5.3). Une telle manière de procéder ne viole pas le droit d’être entendu selon l’art. 29 al. 2 Cst. (Constitution fédérale de la Confédération suisse du 18 avril 1999 ; RS 101) (SVR 2001 IV n° 10 p. 28 consid. 4b ; cf. ATF 124 V 90 consid. 4b ; 122 V 157 consid. 1d et l’arrêt cité ; TF 9C_272/2011 du 6 décembre 2011). b) Le dossier étant complet sur le plan médical en ce qui concerne l’objet du litige avec des avis médicaux convergeant sur les points essentiels, permettant ainsi à la Cour de céans de statuer en pleine connaissance de cause, il n’y a pas lieu d’ordonner une mesure d’instruction complémentaire, sous la forme d’une expertise médicale pluridisciplinaire, telle que requise par la recourante. En effet, une telle mesure ne serait pas de nature à modifier les considérations qui précèdent, puisque les faits pertinents ont pu être constatés à satisfaction de droit. Dans la mesure où les conclusions rapportées par le Dr S.________ sont étayées par les données cliniques au dossier, il ne se justifie pas de compléter l’instruction en vue de pallier la prétendue absence de constatations médicales objectives. Ainsi, quoi qu’en dise la recourante, le dossier constitué ne souffre d’aucune lacune, de sorte que toute mesure d’instruction complémentaire apparaît superfétatoire.</w:t>
      </w:r>
    </w:p>
    <w:p>
      <w:r>
        <w:rPr>
          <w:b/>
        </w:rPr>
        <w:t>E. 8</w:t>
      </w:r>
    </w:p>
    <w:p>
      <w:r>
        <w:t>En définitive, le recours se révèle mal fondé et doit être rejeté, la décision attaquée étant confirmée.</w:t>
      </w:r>
    </w:p>
    <w:p>
      <w:r>
        <w:rPr>
          <w:b/>
        </w:rPr>
        <w:t>E. 9</w:t>
      </w:r>
    </w:p>
    <w:p>
      <w:r>
        <w:t>a) Par décision du 28 mars 2017, le juge instructeur a accordé à la recourante le bénéfice de l’assistance judiciaire avec effet au 3 octobre 2016 et désigné Me Alessandro Brenci en qualité d’avocat d’office (art. 118 al. 1 CPC [code fédéral de procédure civile du 19 décembre 2008 ; RS 272], applicable par renvoi de l’art. 18 al. 5 LPA-VD). La recourante était exonérée du paiement de frais judiciaires mais astreinte au paiement d’une franchise mensuelle de 100 fr. dès et y compris le 1 er mai 2017.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11 mai 2017, Me Brenci a produit le relevé des opérations effectuées dans le cadre de la présente procédure. Il a annoncé un total de 7 heures 25. Quant au montant des débours facturés, il s’élevait à 17 fr. hors TVA. Son activité a été contrôlée au regard de la conduite du procès et rentre globalement dans le cadre de l’accomplissement du mandat confié, de sorte qu’elle doit être arrêtée à 7 heures 25 au tarif horaire de 180 fr. pour un avocat breveté (art. 2 al. 1 let. a RAJ). Ainsi, Me Brenci a droit à un montant de 1'460 fr. 15, TVA au taux de 8% comprise, pour l’ensemble de l’activité déployée dans le cadre de la présente procédure. Cette rémunération est provisoirement supportée par le canton,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c)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