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579 vom 19. September 2017</w:t>
      </w:r>
    </w:p>
    <w:p>
      <w:r>
        <w:t>VD Tribunal cantonal, 2017-09-19, FR</w:t>
      </w:r>
    </w:p>
    <w:p>
      <w:r>
        <w:rPr>
          <w:b/>
        </w:rPr>
        <w:t xml:space="preserve">Quelle: </w:t>
      </w:r>
      <w:r>
        <w:t>https://mcp.opencaselaw.ch/entscheid/vd_findinfo_Arr_t___2017___579</w:t>
      </w:r>
    </w:p>
    <w:p>
      <w:r>
        <w:t>FR: VD_FINDINFO Arrêt / 2017 / 579 du 19 septembre 2017</w:t>
      </w:r>
    </w:p>
    <w:p>
      <w:r>
        <w:t>IT: VD_FINDINFO Arrêt / 2017 / 579 del 19 settembre 2017</w:t>
      </w:r>
    </w:p>
    <w:p>
      <w:pPr>
        <w:pStyle w:val="Heading2"/>
      </w:pPr>
      <w:r>
        <w:t>Regeste</w:t>
      </w:r>
    </w:p>
    <w:p>
      <w:r>
        <w:t>TROUBLE SOMATOFORME DOULOUREUX, EXPERTISE PLURIDISCIPLINAIRE, NOUVELLE DEMANDE, DÉCISION DE RENVOI | 28 LAI, 17 LPGA, 43 LPGA, 44 LPGA</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w:t>
      </w:r>
    </w:p>
    <w:p>
      <w:r>
        <w:rPr>
          <w:b/>
        </w:rPr>
        <w:t>E. 3</w:t>
      </w:r>
    </w:p>
    <w:p>
      <w:r>
        <w:t>a) Selon l'art. 87 al. 2 RAI (règlement du 17 janvier 1961 sur l'assurance-invalidité ; RS 831.201 [dans sa teneur en vigueur depuis le 1 er janvier 2012]),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b) Ces exigences permettent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 TF [Tribunal fédéral] 9C_516/2012 du 3 janvier 2013 consid. 2). c) Lorsque l'administration est saisie d'une nouvelle demande sur laquelle elle est entrée en matière, il convient d'examiner, par analogie avec l'art. 17 LPGA (ATF 130 V 71 consid. 3.2), si entre la décision de refus de prestations entrée en force et la décision litigieuse, un changement important des circonstances propre à influencer le degré d'invalidité s'est produit (ATF 130 V 343 consid. 3.5.2 ; TF 9C_435/2013 du 27 septembre 2013 consid. 5.1). Tout changement important des circonstances propre à influencer le degré d'invalidité, et donc le droit à la rente, peut motiver une révision selon l'art. 17 LPGA. La rente peut être révisée non seulement en cas d'amélioration ou d'aggravation notable de l'état de santé, mais aussi lorsque celui-ci est resté en soi le même, mais que ses conséquences sur la capacité de gain ont subi un changement important (ATF 133 V 545 ; 130 V 343 consid. 3.5 et 113 V 275 consid. 1a). Sous cet angle, une simple appréciation différente d'un état de fait qui, pour l'essentiel, est demeuré inchangé, n'est pas déterminante (ATF 112 V 372 consid. 2b ; TF 9C_765/2009 du 29 mars 2010 consid. 2.2 ; Müller, Die materiellen Voraussetzungen der Rentenrevision in der Invalidenversicherung, thèse Fribourg, 2003, ch. 490 p. 135).</w:t>
      </w:r>
    </w:p>
    <w:p>
      <w:r>
        <w:rPr>
          <w:b/>
        </w:rPr>
        <w:t>E. 3.3</w:t>
      </w:r>
    </w:p>
    <w:p>
      <w:r>
        <w:t>et 125 V 146). d) Les atteintes à la santé psychique peuvent, comme les atteintes physiques, entraîner une invalidité au sens de l'art. 4 al. 1 LAI en relation avec l'art.</w:t>
      </w:r>
    </w:p>
    <w:p>
      <w:r>
        <w:rPr>
          <w:b/>
        </w:rPr>
        <w:t>E. 4</w:t>
      </w:r>
    </w:p>
    <w:p>
      <w:r>
        <w:t>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 b) Selon l’art. 28 al. 2 LAI (en vigueur depuis le 1 er janvier 2008), l’assuré a droit à une rente d'invalidité s’il est invalide à 40% au moins ;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w:t>
      </w:r>
    </w:p>
    <w:p>
      <w:r>
        <w:rPr>
          <w:b/>
        </w:rPr>
        <w:t>E. 4.2</w:t>
      </w:r>
    </w:p>
    <w:p>
      <w:r>
        <w:t>de l’arrêt concerné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c) La preuve d’une telle atteinte à la santé, sous la forme d’un trouble somatoforme douloureux, suppose d’abord que l’atteinte soit diagnostiquée par l’expert selon les règles de l’art, en tenant compte en particulier du critère de gravité inhérent à ce diagnostic et en faisant référence aux limitations fonctionnelles constatées. Le diagnostic doit également résister à divers motifs d’exclusion. Ainsi n’existe-t-il en principe aucune atteinte à la santé lorsque la limitation de la capacité d’exécuter une tâche ou une action repose sur une exagération ou une manifestation analogue.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des plaintes très démonstratives laissent insensible l’expert ou en cas d’allégation de lourds handicaps dans la vie quotidienne malgré un environnement psychosocial largement intact. A lui seul, un simple comportement ostensible ne permet pas de conclure à une exagération. Lorsque dans le cas particulier, il apparaît clairement que de tels motifs d’exclusion empêchent de conclure à une atteinte à la santé, il n’existe d’emblée aucune justification pour une rente d’invalidité, même si les caractéristiques d’un trouble somatoforme douloureux au sens de la classification seraient réalisées (cf. art. 7 al. 2 LPGA). Dans la mesure où les indices ou les manifestations susmentionnés apparaissent en plus d’une atteinte à la santé indépendante avérée, les effets de celle-ci doivent être corrigés en tenant compte de l’étendue de l’exagération (ATF 141 V 281 consid. 2). d) Une fois le diagnostic posé, le point de savoir si l’atteinte à la santé entraîne une incapacité de travail doit être examiné au travers d’une grille d’évaluation normative et structurée, à l’aide d’indicateurs objectifs plaidant en faveur ou en défaveur d’une incapacité de travail totale ou partielle (ATF 141 V 281 consid. 3 et 4). Cette grille comprendra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sera également tenu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(ATF 141 V 281 consid. 4.3 et référence citée). La grille d’évaluation de la capacité résiduelle de travail comprendra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référence citée). 6. 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 TFA I 274/05 du 21 mars 2006 consid. 1.2 et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w:t>
      </w:r>
    </w:p>
    <w:p>
      <w:r>
        <w:rPr>
          <w:b/>
        </w:rPr>
        <w:t>E. 6</w:t>
      </w:r>
    </w:p>
    <w:p>
      <w:r>
        <w:t>LPGA) d’au moins 40% en moyenne durant une année sans interruption notable (let. b) ; au terme de cette année, il est invalide (art. 8 LPGA) à 40% au moins (let. c). c)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L’art. 28a LAI précise que l’art. 16 LPGA s’applique à l’évaluation de l’invalidité des assurés exerçant une activité lucrative (al. 1). L’invalidité de l’assuré qui n’exerce pas d’activité lucrative et dont on ne peut raisonnablement exiger qu’il en entreprenne une est évaluée, en dérogation à l’art. 16 LPGA, en fonction de son incapacité à accomplir ses travaux habituels (al. 2).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 le taux d’invalidité est calculé dans les deux domaines d’activité (al. 3). L'invalidité totale de la personne assurée résultera de l'addition des taux d'invalidité pondérés dans les deux domaines (ATF 130 V 393 consid.</w:t>
      </w:r>
    </w:p>
    <w:p>
      <w:r>
        <w:rPr>
          <w:b/>
        </w:rPr>
        <w:t>E. 8</w:t>
      </w:r>
    </w:p>
    <w:p>
      <w:r>
        <w:t>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Bien que les rapports d'examen réalisés par un SMR en vertu de l'art. 49 al. 2 RAI (règlement du 17 janvier 1961 sur l'assurance-invalidité ; RS 831.201) ne soient pas des expertises au sens de l'art. 44 LPGA et ne soient pas soumis aux mêmes exigences formelles (ATF 135 V 254 consid. 3.4), ils peuvent néanmoins revêtir la même valeur probatoire que des expertises, dans la mesure où ils satisfont aux exigences définies par la jurisprudence, qui sont posées à une expertise médicale (TF 9C_500/2011 du 26 mars 2012 consid. 3.1 ; 9C_28/2011 du 6 octobre 2011 consid. 2.2 ; 9C_745/2010 du 30 mars 2011 consid. 3.3 et 9C_204/2009 du 6 juillet 2009 consid. 3.3.2 et les références ; consid. 3.3.2 non publié de l'ATF 135 V 254). Il convient cependant d'ordonner une expertise si des doutes, mêmes faibles, subsistent quant à la fiabilité et à la pertinence des constatations médicales effectuées par le service médical interne de l'assurance (ATF 135 V 465 consid. 4.6 ; TF 9C_500/2011 précité loc. cit. ; TF 9C_28/2011 précité loc. cit. et 9C_745/2010 précité loc. cit.).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 citées ; TF 8C_862/2008 du 19 août 2009 consid. 4.2).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(TF 8C_407/2014 précité ; voir également TF 9C_276/2015 du</w:t>
      </w:r>
    </w:p>
    <w:p>
      <w:r>
        <w:rPr>
          <w:b/>
        </w:rPr>
        <w:t>E. 10</w:t>
      </w:r>
    </w:p>
    <w:p>
      <w:r>
        <w:t>Il résulte de ce qui précède que le recours, bien fondé, doit être admis, la décision attaquée annulée et la cause renvoyée à l'OAI pour instruction complémentaire dans le sens des considérants.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laisser exceptionnellement à la charge de l’Etat dans la mesure où les documents médicaux fondant l’admission du recours n’étaient pas connus de l’intimé à la date de la décision querellée. b) Obtenant gain de cause, la recourante, assistée d'un mandataire professionnel, a par ailleurs droit à des dépens, fixés in casu à 1’500 fr.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