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546 vom 5. Juli 2017</w:t>
      </w:r>
    </w:p>
    <w:p>
      <w:r>
        <w:t>VD Tribunal cantonal, 2017-07-05, FR</w:t>
      </w:r>
    </w:p>
    <w:p>
      <w:r>
        <w:rPr>
          <w:b/>
        </w:rPr>
        <w:t xml:space="preserve">Quelle: </w:t>
      </w:r>
      <w:r>
        <w:t>https://mcp.opencaselaw.ch/entscheid/vd_findinfo_Arr_t___2017___546</w:t>
      </w:r>
    </w:p>
    <w:p>
      <w:r>
        <w:t>FR: VD_FINDINFO Arrêt / 2017 / 546 du 5 juillet 2017</w:t>
      </w:r>
    </w:p>
    <w:p>
      <w:r>
        <w:t>IT: VD_FINDINFO Arrêt / 2017 / 546 del 5 luglio 2017</w:t>
      </w:r>
    </w:p>
    <w:p>
      <w:pPr>
        <w:pStyle w:val="Heading2"/>
      </w:pPr>
      <w:r>
        <w:t>Regeste</w:t>
      </w:r>
    </w:p>
    <w:p>
      <w:r>
        <w:t>CHÔMAGE IMPUTABLE À UNE FAUTE DE L'ASSURÉ, RÉSILIATION SANS ÊTRE ASSURÉ D'UN AUTRE EMPLOI, FAUTE GRAVE, SUSPENSION DU DROIT À L'INDEMNITÉ | 30 al. 1 let. a LACI, 44 al. 1 let. b OACI, 45 al. 3 let. c OACI, 45 al. 4 let. a OACI</w:t>
      </w:r>
    </w:p>
    <w:p>
      <w:pPr>
        <w:pStyle w:val="Heading2"/>
      </w:pPr>
      <w:r>
        <w:t>Erwägungen</w:t>
      </w:r>
    </w:p>
    <w:p>
      <w:r>
        <w:rPr>
          <w:b/>
        </w:rPr>
        <w:t>E. 5</w:t>
      </w:r>
    </w:p>
    <w:p>
      <w:r>
        <w:t>La suspension étant bien fondée dans son principe, il reste à qualifier la faute, puis à examiner la quotité de la sanction prononcée à l’égard de la recourante. a) La durée de la suspension est proportionnelle à la gravité de la faute ; selon l'art. 45 al. 3 OACI, elle est de 1 à 15 jours en cas de faute légère (let. a), de 16 à 30 jours en cas de faute de gravité moyenne (let. b) et de 31 à 60 jours en cas de faute grave (let. c). Dans ce domaine, le juge ne s'écarte de l'appréciation de l'administration que s'il existe de solides raisons pour ce faire (cf. ATF 123 V 150 consid. 2). Il y a faute grave lorsque, sans motif valable, l'assuré abandonne un emploi réputé convenable sans être assuré d'obtenir un nouvel emploi ou lorsqu'il refuse un emploi réputé convenable (cf. art. 45 al. 4 OACI), sous réserve de circonstances particulières pouvant amener l'autorité administrative ou les tribunaux à considérer que la faute est moyenne (cf. ATF 130 V 125 ; TF 8C_775/2012 du 29 novembre 2012 consid. 2). b) En l’espèce, la recourante a démissionné sans être assurée de trouver un nouvel emploi et sans motif valable, comportement qui doit être qualifié de faute grave conformément à l’art. 45 al. 4 let. a OACI. Ainsi, en retenant une faute grave et en fixant la durée de la suspension à 31 jours, ce qui correspond au minimum légal prévu pour une faute d’une telle gravité, l’intimée n’a pas outrepassé son pouvoir d’appréciation. Du reste, on ne voit pas quelles circonstances pourraient en l’espèce conduire la Cour de céans à conclure à l’existence d’une faute de gravité moyenne. En particulier, les motifs invoqués par la recourante pour justifier la résiliation de son contrat de travail ne permettent pas de réduire la durée de la suspension à moins de 31 jours, dès lors qu'ils sont en définitive infondés sous l'angle de l'assurance-chômage (cf. consid. 4b supra). L'appréciation de l'intimée ne prête dès lors pas le flanc à la critique et peut être confirmée.</w:t>
      </w:r>
    </w:p>
    <w:p>
      <w:r>
        <w:rPr>
          <w:b/>
        </w:rPr>
        <w:t>E. 6</w:t>
      </w:r>
    </w:p>
    <w:p>
      <w:r>
        <w:t>a) En conclusion, le recours, mal fondé, doit être rejeté et la décision sur opposition attaquée confirmée. b) La procédure étant gratuite, le présent arrêt est rendu sans frais judiciaires (cf. art. 61 let. a LPGA). Il n’y a pas lieu d’allouer de dépens, dès lors que la recourante n’obtient pas gain de cause (cf. art. 61 let. g LPGA). Par ces motifs, la juge unique prononce : I. Le recours est rejeté. II. La décision sur opposition rendue le 30 janvier 2017 par la Caisse cantonale de chômage, Division juridique, est confirmée. III. Il n'est pas perçu de frais judiciaires ni alloué de dépens. La juge unique :               La greffière : Du L'arrêt qui précède est notifié à : ‑ V.________, à Lausanne,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