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487 vom 9. Mai 2017</w:t>
      </w:r>
    </w:p>
    <w:p>
      <w:r>
        <w:t>VD Tribunal cantonal, 2017-05-09, FR</w:t>
      </w:r>
    </w:p>
    <w:p>
      <w:r>
        <w:rPr>
          <w:b/>
        </w:rPr>
        <w:t xml:space="preserve">Quelle: </w:t>
      </w:r>
      <w:r>
        <w:t>https://mcp.opencaselaw.ch/entscheid/vd_findinfo_Arr_t___2017___487</w:t>
      </w:r>
    </w:p>
    <w:p>
      <w:r>
        <w:t>FR: VD_FINDINFO Arrêt / 2017 / 487 du 9 mai 2017</w:t>
      </w:r>
    </w:p>
    <w:p>
      <w:r>
        <w:t>IT: VD_FINDINFO Arrêt / 2017 / 487 del 9 maggio 2017</w:t>
      </w:r>
    </w:p>
    <w:p>
      <w:pPr>
        <w:pStyle w:val="Heading2"/>
      </w:pPr>
      <w:r>
        <w:t>Regeste</w:t>
      </w:r>
    </w:p>
    <w:p>
      <w:r>
        <w:t>RELATIONS PERSONNELLES | 273 CC, 450 CC</w:t>
      </w:r>
    </w:p>
    <w:p>
      <w:pPr>
        <w:pStyle w:val="Heading2"/>
      </w:pPr>
      <w:r>
        <w:t>Erwägungen</w:t>
      </w:r>
    </w:p>
    <w:p>
      <w:r>
        <w:rPr>
          <w:b/>
        </w:rPr>
        <w:t>E. 1.1</w:t>
      </w:r>
    </w:p>
    <w:p>
      <w:r>
        <w:t>Le recours est dirigé contre une décision de l'autorité de protection instituant l'autorité parentale conjointe aux parents de l'enfant I.C.________ et fixant les modalités du droit de visite, l'enquête étant maintenue ouverte jusqu'à réception de la convention sur la bonification pour tâches éducatives.</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mère de la mineure concernée, partie à la procédure, le présent recours est recevable. Il en va de même des pièces produites en deuxième instance, si tant est qu’elles ne figurent pas déjà au dossier. En revanche, le recours étant manifestement mal fondé au vu des considérations qui seront développées ci-après, il a été renoncé à consulter l'autorité de protection (cf. art. 450d al. 1 CC) et à interpeller le père de l’enfant (art. 312 al. 1 CPC, applicable par renvoi de l'art. 450f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Une décision concernant la fixation d’un droit de visite d’un parent relève de la compétence de la Justice de paix (art. 4 al. 1 LVPAE).</w:t>
      </w:r>
    </w:p>
    <w:p>
      <w:r>
        <w:rPr>
          <w:b/>
        </w:rPr>
        <w:t>E. 2.3</w:t>
      </w:r>
    </w:p>
    <w:p>
      <w:r>
        <w:t>La procédure devant l’autorité de protection est régie par les art. 443 ss CC. Les personnes concernées doivent être entendues personnellement, à moins que l’audition ne paraisse disproportionnée (art. 447 al. 1 CC).</w:t>
      </w:r>
    </w:p>
    <w:p>
      <w:r>
        <w:rPr>
          <w:b/>
        </w:rPr>
        <w:t>E. 2.4</w:t>
      </w:r>
    </w:p>
    <w:p>
      <w:r>
        <w:t>En l’espèce, la décision a été rendue par la justice de paix, qui a fondé sa compétence sur les art. 273 ss CC et 4 al. 1 LVPAE. L’autorité de protection a procédé à l’audition des parents à plusieurs reprises, en dernier lieu le 16 décembre 2017. Elle a également procédé à l'audition de l'enfant le 3 juin 2014, de sorte que le droit d’être entendu des parties a été respecté. Partant, la décision entreprise est formellement correcte et peut être examinée sur le fond.</w:t>
      </w:r>
    </w:p>
    <w:p>
      <w:r>
        <w:rPr>
          <w:b/>
        </w:rPr>
        <w:t>E. 3.1</w:t>
      </w:r>
    </w:p>
    <w:p>
      <w:r>
        <w:t>La recourante ne conteste pas l'institution de l'autorité parentale conjointe, mais s'en prend aux modalités du droit de visite fixées par les premiers juges. Elle invoque en particulier qu'elle termine «parfois» son travail à 18 heures et qu'elle veut passer un moment avec sa fille avant le départ chez son père, ce qui n'est pas conciliable avec les horaires imposés par l'autorité de protection. Elle soulève également que la fête de Noël est très importante à ses yeux et qu'elle souhaiterait pouvoir passer chaque année le 25 décembre avec sa fille.</w:t>
      </w:r>
    </w:p>
    <w:p>
      <w:r>
        <w:rPr>
          <w:b/>
        </w:rPr>
        <w:t>E. 3.2</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 ATF 123 III 445 consid. 3b, JdT 1998 I 354).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 586/2012 du 12 décembre 2012 consid. 4.2 ; ATF 127 III 295 consid. 4a, 123 III 445 consid. 3c ;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Ill 209 précité ; ATF 118 II 21 consid. 3c, JdT 1995 I 548 ; TF 5A_448/2008 du 2 octobre 2008 consid.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w:t>
      </w:r>
    </w:p>
    <w:p>
      <w:r>
        <w:rPr>
          <w:b/>
        </w:rPr>
        <w:t>E. 3.3</w:t>
      </w:r>
    </w:p>
    <w:p>
      <w:r>
        <w:t>En l'espèce, en l'absence d'accord entre les parents sur le droit de visite, qui s'exerce toujours difficilement, notamment pour les vacances, les premiers juges ont décidé d'un droit de visite usuel. Cela ne prête pas le flanc à la critique. La recourante invoque ses seuls intérêts, sans tenir compte de ceux du père à pouvoir exercer un droit de visite le week-end dès la sortie de son propre travail ; par ailleurs elle ne termine que « parfois » son travail à 18 heures, ce qui signifie qu'elle dispose donc de toute manière le plus souvent d'un moment avec sa fille, si elle le souhaite. De même, le fait de passer les fêtes de Noël tantôt chez l'un tantôt chez l'autre des parents une année sur deux, sans devoir séparer les deux jours est conforme à l'intérêt de l'enfant, d'autant que, s'il y a une fête le 24, elle se passe en général le soir, ce qui empêcherait l'enfant d'en profiter chez le parent concerné. Par ailleurs, on relèvera que les parties peuvent cas échéant convenir librement d'autres modalités si elles sont d'accord, le droit de visite fixé n'intervenant qu'à défaut de meilleure entente.</w:t>
      </w:r>
    </w:p>
    <w:p>
      <w:r>
        <w:rPr>
          <w:b/>
        </w:rPr>
        <w:t>E. 4</w:t>
      </w:r>
    </w:p>
    <w:p>
      <w:r>
        <w:t>En conclusion, le recours d'U.C.________ doit être rejeté et la décision entreprise confirmée. Les frais judiciaires de deuxième instance, arrêtés à 100 fr. (art. 74a al. 1 TFJC [Tarif du 28 septembre 2010 des frais judiciaires civils ; RSV 270.11.5]), sont mis à la charge de la recourante, qui succombe. Par ces motifs, la Chambre des curatelles du Tribunal cantonal, statuant à huis clos, prononce : I. Le recours est rejeté. II. La décision est confirmée. III. Les frais judiciaires de deuxième instance, arrêtés à 100 fr. (cent francs), sont mis à la charge de la recourante U.C.________. IV. L'arrêt est exécutoire. La présidente :              La greffière : Du L'arrêt qui précède, dont la rédaction a été approuvée à huis clos, est notifié à : ‑ Mme U.C.________, ‑ Me Anne-Louise Gilliéron, avocate (pour O.________), et communiqué à : ‑ Justice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