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384 vom 2. Mai 2017</w:t>
      </w:r>
    </w:p>
    <w:p>
      <w:r>
        <w:t>VD Tribunal cantonal, 2017-05-02, FR</w:t>
      </w:r>
    </w:p>
    <w:p>
      <w:r>
        <w:rPr>
          <w:b/>
        </w:rPr>
        <w:t xml:space="preserve">Quelle: </w:t>
      </w:r>
      <w:r>
        <w:t>https://mcp.opencaselaw.ch/entscheid/vd_findinfo_Arr_t___2017___384</w:t>
      </w:r>
    </w:p>
    <w:p>
      <w:r>
        <w:t>FR: VD_FINDINFO Arrêt / 2017 / 384 du 2 mai 2017</w:t>
      </w:r>
    </w:p>
    <w:p>
      <w:r>
        <w:t>IT: VD_FINDINFO Arrêt / 2017 / 384 del 2 maggio 2017</w:t>
      </w:r>
    </w:p>
    <w:p>
      <w:pPr>
        <w:pStyle w:val="Heading2"/>
      </w:pPr>
      <w:r>
        <w:t>Regeste</w:t>
      </w:r>
    </w:p>
    <w:p>
      <w:r>
        <w:t>ACCIDENT, LÉSION CORPORELLE ASSIMILÉE À UN ACCIDENT, MALADIE PROFESSIONNELLE, DROIT D'ÊTRE ENTENDU, ATTEINTE SOUDAINE | 29 al. 2 Cst., 6 LAA, 9 LAA, 49 LPGA, 9 al. 2 OLAA</w:t>
      </w:r>
    </w:p>
    <w:p>
      <w:pPr>
        <w:pStyle w:val="Heading2"/>
      </w:pPr>
      <w:r>
        <w:t>Erwägungen</w:t>
      </w:r>
    </w:p>
    <w:p>
      <w:r>
        <w:rPr>
          <w:b/>
        </w:rPr>
        <w:t>E. 7</w:t>
      </w:r>
    </w:p>
    <w:p>
      <w:r>
        <w:t>décembre 2010 sur l'assistance judiciaire civile ; RSV 211.02.3]), à quoi s'ajoutent les débours par 61 fr. et la TVA au taux de 8 %, ce qui représente un montant total de 2'505 fr. 60 pour l'ensemble de l'activité déployée dans la présente cause. Cette rémunération est provisoirement supportée par le canton, tandis que la recourante est rendue attentive qu’il lui incombera de rembourser le montant corrélatif dès que sa situation financière le lui permettra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