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273 vom 9. Mai 2017</w:t>
      </w:r>
    </w:p>
    <w:p>
      <w:r>
        <w:t>VD Tribunal cantonal, 2017-05-09, FR</w:t>
      </w:r>
    </w:p>
    <w:p>
      <w:r>
        <w:rPr>
          <w:b/>
        </w:rPr>
        <w:t xml:space="preserve">Quelle: </w:t>
      </w:r>
      <w:r>
        <w:t>https://mcp.opencaselaw.ch/entscheid/vd_findinfo_Arr_t___2017___273</w:t>
      </w:r>
    </w:p>
    <w:p>
      <w:r>
        <w:t>FR: VD_FINDINFO Arrêt / 2017 / 273 du 9 mai 2017</w:t>
      </w:r>
    </w:p>
    <w:p>
      <w:r>
        <w:t>IT: VD_FINDINFO Arrêt / 2017 / 273 del 9 maggio 2017</w:t>
      </w:r>
    </w:p>
    <w:p>
      <w:pPr>
        <w:pStyle w:val="Heading2"/>
      </w:pPr>
      <w:r>
        <w:t>Regeste</w:t>
      </w:r>
    </w:p>
    <w:p>
      <w:r>
        <w:t>AC, DOMICILE À L'ÉTRANGER, DOMICILE EN SUISSE, PERCEPTION DE PRESTATION, RESTITUTION{EN GÉNÉRAL}, COMPÉTENCE RATIONE LOCI, DÉMÉNAGEMENT | 12 LACI, 8 al. 1 let. c LACI, 25 al. 1 LPGA, 119 al. 1 OACI, 119 al. 2 OACI, 128 al. 1 OACI</w:t>
      </w:r>
    </w:p>
    <w:p>
      <w:pPr>
        <w:pStyle w:val="Heading2"/>
      </w:pPr>
      <w:r>
        <w:t>Erwägungen</w:t>
      </w:r>
    </w:p>
    <w:p>
      <w:r>
        <w:rPr>
          <w:b/>
        </w:rPr>
        <w:t>E. 8</w:t>
      </w:r>
    </w:p>
    <w:p>
      <w:r>
        <w:t>LACI – ce qui n’est pas contesté –, c’est à bon droit qu’elle a touché des prestations de chômage durant les délais-cadres d’indemnisation ouverts le 1 er mars 2012 et le 1 er mai 2015. La demande de restitution des indemnités perçues n’était par conséquent pas fondée. 5. a) En définitive, le recours doit être admis et la décision sur opposition annulée. b) Il n'y a pas lieu de percevoir de frais judiciaires, la procédure étant gratuite (art. 61 let. a LPGA), ni d'allouer de dépens, la recourante n'étant pas assistée d’un mandataire professionnel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