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227 vom 14. März 2017</w:t>
      </w:r>
    </w:p>
    <w:p>
      <w:r>
        <w:t>VD Tribunal cantonal, 2017-03-14, FR</w:t>
      </w:r>
    </w:p>
    <w:p>
      <w:r>
        <w:rPr>
          <w:b/>
        </w:rPr>
        <w:t xml:space="preserve">Quelle: </w:t>
      </w:r>
      <w:r>
        <w:t>https://mcp.opencaselaw.ch/entscheid/vd_findinfo_Arr_t___2017___227</w:t>
      </w:r>
    </w:p>
    <w:p>
      <w:r>
        <w:t>FR: VD_FINDINFO Arrêt / 2017 / 227 du 14 mars 2017</w:t>
      </w:r>
    </w:p>
    <w:p>
      <w:r>
        <w:t>IT: VD_FINDINFO Arrêt / 2017 / 227 del 14 marzo 2017</w:t>
      </w:r>
    </w:p>
    <w:p>
      <w:pPr>
        <w:pStyle w:val="Heading2"/>
      </w:pPr>
      <w:r>
        <w:t>Regeste</w:t>
      </w:r>
    </w:p>
    <w:p>
      <w:r>
        <w:t>AA, RENTE D'INVALIDITÉ, MALADIE PROFESSIONNELLE, INDEMNITÉ POUR ATTEINTE À L'INTÉGRITÉ | 18 al. 1 LAA, 24 al. 1 LAA, 6 al. 1 LAA, 9 al. 1 LAA, 9 al. 3 LAA, 6 LPGA, 8 LPGA</w:t>
      </w:r>
    </w:p>
    <w:p>
      <w:pPr>
        <w:pStyle w:val="Heading2"/>
      </w:pPr>
      <w:r>
        <w:t>Erwägungen</w:t>
      </w:r>
    </w:p>
    <w:p>
      <w:r>
        <w:rPr>
          <w:b/>
        </w:rPr>
        <w:t>E. 7</w:t>
      </w:r>
    </w:p>
    <w:p>
      <w:r>
        <w:t>Le recourant se plaint aussi de ne pas percevoir d’IPAI, faisant valoir à cet égard que son atteinte remplit les conditions d’une telle indemnité.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 Schweizerisches Bundesverwaltungsrecht (SBVR), 2ème éd., 2007, n 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p. 221 ; RAMA 2004 n o U 514 p. 415, U 134/03 consid. 5.2 ; RAMA 2000 n o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o 235). L'annexe 3 de l'OLAA comporte un barème - reconnu conforme à la loi et non exhaustif (ATF 124 V 29 consid. 1b p. 32, 209 consid. 4a/bb p. 210 ;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 RAMA 1998 n o U 296 p. 235, U 245/96, consid. 2a). b) S’agissant de l’IPAI, le Dr C.________ a relevé le 25 août 2015 s’être référé à l’article « capacité de travail en cas d’affection pulmonaire » (Drs [...] et [...]), et plus spécifiquement à la formule de Scherrer pour évaluer l’invalidité médicale théorique. Il a précisé dans ce cadre s’être référé à la table d’indemnisation n° 10 de la Division médicale de la CNA, relative aux atteintes à l’intégrité en cas de séquelles pulmonaires d’accidents ou de maladies professionnelles, dont l’art. 1.1 est libellé en ces termes : « Taux minimal Seules les atteintes graves, c’est-à-dire patentes et importantes à l’intégrité, donnent droit à une indemnité. Les lésions qui n’atteignent pas le taux de 5% dans le barème du Conseil fédéral sont donc exclues de ce droit : Ce taux minimal de 5% correspond à une invalidité médicale respiratoire (diminution de la fonction respiratoire) de 33 1/3%. » Le Dr C.________ a estimé le taux d’invalidité médicale théorique à 10%, en se fondant d’une part sur la baisse du volume expiratoire forcé (en anglais, FEV [forced expiratory volume]) de 6% retenue par l’Hôpital de T.________, et d’autre part sur le trouble de la diffusion modéré. Or un tel taux n’atteint pas le seuil requis pour le versement d’une IPAI. L’appréciation du Dr C.________ est étayée et n’est pas contredite, si bien qu’elle doit être confirmée. Ce médecin admet au demeurant que la situation du recourant est susceptible de se péjorer, et qu’il conviendrait alors de réexaminer le droit à l’IPAI.</w:t>
      </w:r>
    </w:p>
    <w:p>
      <w:r>
        <w:rPr>
          <w:b/>
        </w:rPr>
        <w:t>E. 8</w:t>
      </w:r>
    </w:p>
    <w:p>
      <w:r>
        <w:t>Le dossier étant complet, permettant ainsi à la Cour de céans de statuer en connaissance de cause, il n’y a pas lieu de donner suite à la mesure d’instruction requise par le recourant sous la forme d’une expertise. En effet, une telle mesure d’instruction ne serait pas de nature à modifier les considérations qui précèdent (sur l'appréciation anticipée des preuves : ATF 141 I 60 consid. 3.3, 136 I 229 consid. 5.3 ; TF 8C_139/2016 du 24 octobre 2016 consid. 4.2), puisque les faits pertinents ont pu être constatés à satisfaction de droit.</w:t>
      </w:r>
    </w:p>
    <w:p>
      <w:r>
        <w:rPr>
          <w:b/>
        </w:rPr>
        <w:t>E. 9</w:t>
      </w:r>
    </w:p>
    <w:p>
      <w:r>
        <w:t>Vu ce qui précède, le recours s'avère mal fondé et doit être rejeté. Le présent arrêt est rendu sans frais (art. 61 let. a LPGA ; 45 LPA-VD), ni allocation de dépens dès lors que le recourant, au demeurant non assisté d’un mandataire professionnel pour la défense de ses intérêts, n’obtient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