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219 vom 27. April 2017</w:t>
      </w:r>
    </w:p>
    <w:p>
      <w:r>
        <w:t>VD Tribunal cantonal, 2017-04-27, FR</w:t>
      </w:r>
    </w:p>
    <w:p>
      <w:r>
        <w:rPr>
          <w:b/>
        </w:rPr>
        <w:t xml:space="preserve">Quelle: </w:t>
      </w:r>
      <w:r>
        <w:t>https://mcp.opencaselaw.ch/entscheid/vd_findinfo_Arr_t___2017___219</w:t>
      </w:r>
    </w:p>
    <w:p>
      <w:r>
        <w:t>FR: VD_FINDINFO Arrêt / 2017 / 219 du 27 avril 2017</w:t>
      </w:r>
    </w:p>
    <w:p>
      <w:r>
        <w:t>IT: VD_FINDINFO Arrêt / 2017 / 219 del 27 aprile 2017</w:t>
      </w:r>
    </w:p>
    <w:p>
      <w:pPr>
        <w:pStyle w:val="Heading2"/>
      </w:pPr>
      <w:r>
        <w:t>Regeste</w:t>
      </w:r>
    </w:p>
    <w:p>
      <w:r>
        <w:t>ALCOOLISME, DÉCISION DE RENVOI, ATTEINTE À LA SANTÉ PHYSIQUE, ATTEINTE À LA SANTÉ PSYCHIQUE, RÉVISION{PRESTATION D'ASSURANCE}, RÉDUCTION DE LA PRESTATION D'ASSURANCE, CONSTATATION DES FAITS, MESURE DE RÉADAPTATION{ASSURANCE SOCIALE}, ÉVALUATION DE L'INCAPACITÉ DE TRAVAIL | 4 al. 1 LAI, 17 LPGA, 43 al. 1 LPGA, 6 LPGA, 7 al. 1 LPGA, 8 al. 1 LPGA</w:t>
      </w:r>
    </w:p>
    <w:p>
      <w:pPr>
        <w:pStyle w:val="Heading2"/>
      </w:pPr>
      <w:r>
        <w:t>Erwägungen</w:t>
      </w:r>
    </w:p>
    <w:p>
      <w:r>
        <w:rPr>
          <w:b/>
        </w:rPr>
        <w:t>E. 8</w:t>
      </w:r>
    </w:p>
    <w:p>
      <w:r>
        <w:t>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Kieser, ATSG-Kommentar, 3 e éd. n. 17-18 et 27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l’occurrence, au vu des lacunes dans l’instruction du cas, il s’avère que ni l’état de santé du recourant dans sa globalité, ni les conséquences de cet état de santé sur sa capacité de travail résiduelle n’ont pu être établis de manière probante. Il se justifie par conséquent d’ordonner le renvoi de la cause à l’intimé – auquel il appartient au premier chef d’instruire conformément à l’art. 43 al. 1 LPGA – cette solution apparaissant comme la plus opportune. Ainsi, après avoir, conformément aux considérants qui précèdent, complété l’expertise psychiatrique et investigué l’état de santé somatique, puis, si elles sont exigibles, mis en œuvre d’éventuelles mesures de réintégration sur le marché du travail, l’intimé pourra définitivement statuer sur la révision de la rente d’invalidité et, le cas échéant, diminuer, respectivement supprimer le droit à la rente.</w:t>
      </w:r>
    </w:p>
    <w:p>
      <w:r>
        <w:rPr>
          <w:b/>
        </w:rPr>
        <w:t>E. 9</w:t>
      </w:r>
    </w:p>
    <w:p>
      <w:r>
        <w:t>Le recourant sollicite encore la tenue d’une audience. a) Selon la jurisprudence relative à l'art. 30 al. 3 Cst. (Constitution fédérale de la Confédération suisse du 18 avril 1999 ; RS 101), qui garantit que, lorsqu'il y a lieu de tenir une audience, celle-ci se déroule publiquement, sauf exceptions prévues par la loi (cf. ATF 128 I 288 consid. 2; TF 2C_276/2011 du 10 octobre 2011 consid. 2.1), l'obligation d'organiser des débats publics suppose une demande formulée de manière claire et indiscutable. Une requête de preuve (demande tendant à la comparution personnelle ou à l'audition de témoins) ne suffit pas à fonder une telle obligation (TF 9C_402/2010 du 21 février 2011 consid. 2.1). b) En l'espèce, le recourant n'a pas formulé une demande tendant à la mise en oeuvre de débats publics. Dans son mémoire du 20 juin 2016, le recourant a demandé au Tribunal « de bien vouloir convoquer les parties à une audience de comparution personnelle », sollicitant également l’audition du Dr B.________ en tant que témoin (réplique du 29 septembre 2016), ce qui correspond à une requête de preuve (demande tendant à la comparution personnelle et à l'audition de témoins). Une telle demande ne suffit pas à fonder une obligation de la juridiction cantonale d'organiser des débats publics au sens des art. 30 al. 3 Cst. et 6 par. 1 CEDH (Convention du 4 novembre 1950 de sauvegarde des droits de l’homme et des libertés fondamentales ; RS 0.101). On rappellera, par ailleurs, que les garanties minimales de l'art. 29 al. 2 Cst. en matière de droit d'être entendu ne confèrent pas le droit d'être entendu oralement par l'autorité (cf. ATF 134 I 140 consid. 5.3 et les références). c) Il n’y a dès lors pas lieu de donner suite aux requêtes formulées par le recourant.</w:t>
      </w:r>
    </w:p>
    <w:p>
      <w:r>
        <w:rPr>
          <w:b/>
        </w:rPr>
        <w:t>E. 10</w:t>
      </w:r>
    </w:p>
    <w:p>
      <w:r>
        <w:t>En définitive, le recours se révèle bien fondé et doit donc être admis, ce qui entraîne l’annulation de la décision rendue par l’office AI le 19 mai 2016, la cause lui étant renvoyée pour complément d’instruction et nouvelle décision au sens des considérants.</w:t>
      </w:r>
    </w:p>
    <w:p>
      <w:r>
        <w:rPr>
          <w:b/>
        </w:rPr>
        <w:t>E. 11</w:t>
      </w:r>
    </w:p>
    <w:p>
      <w:r>
        <w:t>Ayant procédé par l’intermédiaire d’un conseiller juridique, dont l’assistance permet l’octroi de dépens en application par analogie de l’art. 23 TFJC (tarif cantonal vaudois des frais judiciaires civils du 28 septembre 2010 ; RSV 270.11.5), le recourant, qui obtient gain de cause, a droit à une indemnité de dépens qu’il convient, compte tenu de l’importance et de la complexité du litige, de fixer à 1'000 fr. à la charge de l’office intimé (art. 61 let. g LPGA, 55 LPA-VD et 11 al. 2 TFJDA [tarif cantonal vaudois du 28 avril 2015 des frais judiciaires et des dépens en matière administrative ; RSV 173.36.5.1]). L’office AI, débouté, supportera les frais de la cause, arrêtés à 400 fr. (art. 69 al. 1 bis LAI, 49 al. 1 LPA-VD et 4 al. 2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