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116 vom 20. Februar 2017</w:t>
      </w:r>
    </w:p>
    <w:p>
      <w:r>
        <w:t>VD Tribunal cantonal, 2017-02-20, FR</w:t>
      </w:r>
    </w:p>
    <w:p>
      <w:r>
        <w:rPr>
          <w:b/>
        </w:rPr>
        <w:t xml:space="preserve">Quelle: </w:t>
      </w:r>
      <w:r>
        <w:t>https://mcp.opencaselaw.ch/entscheid/vd_findinfo_Arr_t___2017___116</w:t>
      </w:r>
    </w:p>
    <w:p>
      <w:r>
        <w:t>FR: VD_FINDINFO Arrêt / 2017 / 116 du 20 février 2017</w:t>
      </w:r>
    </w:p>
    <w:p>
      <w:r>
        <w:t>IT: VD_FINDINFO Arrêt / 2017 / 116 del 20 febbraio 2017</w:t>
      </w:r>
    </w:p>
    <w:p>
      <w:pPr>
        <w:pStyle w:val="Heading2"/>
      </w:pPr>
      <w:r>
        <w:t>Regeste</w:t>
      </w:r>
    </w:p>
    <w:p>
      <w:r>
        <w:t>REMISE DE LA PRESTATION, LOI SUR L'ASSURANCE CHÔMAGE, PRINCIPE DE LA BONNE FOI, SITUATION FINANCIÈRE, REJET DE LA DEMANDE | 95 al. 3 LACI, 25 al. 1 LPGA, 4 OPGA</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al. 1 LPGA),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En l’espèce, interjeté dans le respect du délai légal et des autres conditions de forme prévues par la loi,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La valeur litigieuse étant inférieure à 30'000 fr. au vu du montant dont la remise est demandée, la cause est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En l’espèce, le litige porte sur l’examen des conditions d’une remise de l’obligation de restituer les prestations de l’assurance-chômage indûment perçues, singulièrement sur la bonne foi de la recourante. Il n’y a en revanche pas lieu de revenir sur le principe même de la restitution, ce point ayant été définitivement tranché par la Caisse dans sa décision du 4 mars 2013, confirmée sur opposition le 24 juillet 2013 et sur recours le 21 novembre 2014.</w:t>
      </w:r>
    </w:p>
    <w:p>
      <w:r>
        <w:rPr>
          <w:b/>
        </w:rPr>
        <w:t>E. 3</w:t>
      </w:r>
    </w:p>
    <w:p>
      <w:r>
        <w:t>a) Applicable par renvoi de l’art. 95 al. 1 LACI, l’art. 25 al. 1 LPGA dispose que les prestations indûment touchées doivent être restituées. Toutefois, la restitution ne peut être exigée lorsque l’intéressé était de bonne foi et qu’elle le mettrait dans une situation difficile ( cf. également art. 4 al. 1 OPGA [ordonnance du 11 septembre 2002 sur la partie générale du droit des assurances sociales ; RS 830.11]). Ces deux conditions de la remise de l’obligation de restituer sont cumulatives (ATF 126 V 48 consid. 3c ; Boris Rubin, Commentaire de la loi sur l’assurance-chômage, Genève/Zurich/Bâle 2014, n° 35 ad art. 95 LACI).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Ne peut invoquer sa bonne foi celui qui aurait pu ou dû savoir, en faisant preuve de l’attention que les circonstances permettaient d’exiger de lui, que les prestations étaient versées à tort (TF 8C_118/2010 du 31 août 2010 consid. 4.1 ; Rubin, op. cit. , n° 41 ad 95 LACI). c) En ce qui concerne plus particulièrement le devoir d’annoncer, il convient de rappeler que de manière générale, l’assuré a l’obligation de fournir tous les renseignements propres à permettre à la caisse de chômage de l’indemniser correctement (à cet égard, voir les art. 28, 31 et 43 al. 2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au sujet de l’exercice d’une activité et de son étendue (Rubin, op. cit ., n° 42 ad art. 95 LACI ; voir également TFA C 2/07 du 6 mars 2007). La jurisprudence précise en outre que le bénéficiaire de prestations ne peut en principe pas se prévaloir de sa bonne foi lorsqu’il a annoncé une circonstance influençant son indemnisation à l’ORP et non à la caisse, alors que le canal d’information prévu pour la circonstance en cause est un formulaire destiné uniquement à la caisse (TF 8C_448/2007 du 2 avril 2008 ; voir également Rubin, ibid. ) d) La condition de la bonne foi doit être réalisée durant la période où l’assuré concerné a reçu les prestations indues dont la restitution est exigée (TF 8C_766/2007 du 17 avril 2008 consid. 4.1).</w:t>
      </w:r>
    </w:p>
    <w:p>
      <w:r>
        <w:rPr>
          <w:b/>
        </w:rPr>
        <w:t>E. 4</w:t>
      </w:r>
    </w:p>
    <w:p>
      <w:r>
        <w:t>a) Du point de vue de l’intimé, la bonne foi de la recourante doit être niée – et la demande de remise rejetée en conséquence – dans la mesure où l’intéressée a adopté un comportement assimilable, à tout le moins, à une négligence grave en s’abstenant d’indiquer l’activité exercée pour la société K.________ dans les formulaires IPA remplis durant les périodes litigieuses. La recourante, pour sa part, estime que son activité auprès de la société K.________ n’avait pas besoin d’être annoncée puisque le revenu qu’elle générait ne constituait qu’un gain accessoire, qu’elle touchait déjà avant son inscription au chômage, ce dont l’ORP était au courant. b) En l’espèce, il est constant que la recourante a travaillé – de manière irrégulière – pour le compte de la société K.________, ainsi que pour le Dr Q.________ entre janvier 2010 et août 2011. Dans les formulaires IPA portant sur les périodes précitées, l’intéressée a toutefois répondu par la négative à la question de savoir si elle avait travaillé chez un ou plusieurs employeurs, précisant être encore au chômage. Elle a de ce fait été indemnisée en conséquence par la Caisse. En omettant d’informer la Caisse de ses activités – même si celles-ci avaient débuté avant son inscription au chômage ce dont l’ORP était peut-être informé – lui procurant un certain revenu, la recourante a clairement violé son devoir de renseigner. Ainsi, le fait de ne pas avoir annoncé ses emplois à la Caisse et de ne pas avoir réagi lors du versement des indemnités de chômage constitue manifestement un comportement dolosif, ou à tout le moins une négligence grave, qui empêche la reconnaissance de la bonne foi de l’intéressée dans la perception des indemnités de chômage. Les difficultés financières de la recourante, qu’il ne s’agit au demeurant pas de nier ou de minimiser, n’y changent rien. L’argument de la recourante selon lequel les revenus tirés de ses activités ne lui procuraient qu’un « gain accessoire » ne convainc pas. En effet, la question posée sur les formulaires IPA – qui est formulée de manière parfaitement claire – consiste pour l’intéressée à indiquer si elle travaillait ou non, indépendamment du montant et de la nature des revenus touchés. A cet égard, et comme le relève à juste titre l’intimé, il appartient à la Caisse – et non pas à la recourante – de procéder à la qualification du revenu en question et de se prononcer sur son éventuelle incidence sur les droits de l’assurée. Le fait que ces activités eurent été démarrées avant l’inscription au chômage de la recourante ne justifie pas non plus que cette dernière ne les indique pas sur les formulaires IPA. On ne peut pas non plus justifier la non-transmission des informations relatives à ces activités à la Caisse du fait que l’ORP eût été au courant de ces dernières, dans la mesure où les formulaires IPA sont destinés uniquement à la Caisse ( cf. consid. 3c supra ). c) La question de savoir si la restitution mettrait la recourante dans une situation financière difficile peut demeurer ouverte, dans la mesure où la première des deux conditions cumulatives à la remise de l’obligation de restituer, soit la bonne foi de la recourante, n’est pas réalisée.</w:t>
      </w:r>
    </w:p>
    <w:p>
      <w:r>
        <w:rPr>
          <w:b/>
        </w:rPr>
        <w:t>E. 5</w:t>
      </w:r>
    </w:p>
    <w:p>
      <w:r>
        <w:t>a) En définitive, le recours, mal fondé, doit être rejeté et la décision litigieuse confirmée. b) Il n’y a pas lieu de percevoir de frais judiciaires, la procédure étant gratuite (art. 61 let. a LPGA), ni d’allouer de dépens, dès lors que la recourante – au demeurant non assistée par un mandataire professionnel – n’obtient pas gain de cause (art. 61 let. g LPGA ; art. 55 al. 1 LPA-VD, applicable par renvoi des art. 91 et 99 LPA-VD). Par ces motifs, la juge unique prononce : I. Le recours est rejeté. II. La décision sur opposition rendue le 14 septembre 2016 par le Service de l’emploi, Instance juridique chômage, est confirmée. III. Il n’est pas perçu de frais judiciaires, ni alloué de dépens. La juge unique :               La greffière : Du L'arrêt qui précède est notifié à : ‑ N.________,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