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1009 vom 4. Dezember 2017</w:t>
      </w:r>
    </w:p>
    <w:p>
      <w:r>
        <w:t>VD Tribunal cantonal, 2017-12-04, FR</w:t>
      </w:r>
    </w:p>
    <w:p>
      <w:r>
        <w:rPr>
          <w:b/>
        </w:rPr>
        <w:t xml:space="preserve">Quelle: </w:t>
      </w:r>
      <w:r>
        <w:t>https://mcp.opencaselaw.ch/entscheid/vd_findinfo_Arr_t___2017___1009</w:t>
      </w:r>
    </w:p>
    <w:p>
      <w:r>
        <w:t>FR: VD_FINDINFO Arrêt / 2017 / 1009 du 4 décembre 2017</w:t>
      </w:r>
    </w:p>
    <w:p>
      <w:r>
        <w:t>IT: VD_FINDINFO Arrêt / 2017 / 1009 del 4 dicembre 2017</w:t>
      </w:r>
    </w:p>
    <w:p>
      <w:pPr>
        <w:pStyle w:val="Heading2"/>
      </w:pPr>
      <w:r>
        <w:t>Regeste</w:t>
      </w:r>
    </w:p>
    <w:p>
      <w:r>
        <w:t>ÉVALUATION DE L'IMPOTENCE, IMPOTENCE, ALLOCATION POUR IMPOTENT, RÉVISION{PRESTATION D'ASSURANCE}, LOI FÉDÉRALE SUR L'ASSURANCE-INVALIDITÉ | 42 LAI, 9 LPGA, 37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En l’occurrence, le recours a été formé en temps utile et satisfait aux autres conditions formelles de recevabilité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 L’objet du litige en procédure de droit administratif fédéral, in : Mélanges en l'honneur de Pierre Moor, Berne 2005, p. 440). b) Le litige porte en l’occurrence sur le droit de la recourante à une allocation pour impotent (supérieure à celle de degré faible déjà octroyée), singulièrement sur l’appréciation de sa situation effectuée par l’intimé sur la base de l’enquête réalisée au domicile de l’assurée le 11 novembre 2016.</w:t>
      </w:r>
    </w:p>
    <w:p>
      <w:r>
        <w:rPr>
          <w:b/>
        </w:rPr>
        <w:t>E. 3</w:t>
      </w:r>
    </w:p>
    <w:p>
      <w:r>
        <w:t>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 b) L’art. 35 al. 2 RAI (règlement du 17 janvier 1961 sur l'assurance-invalidité ; RS 831.201 [dans sa teneur en vigueur depuis le 1 er janvier 2012]) prévoit que lorsque le degré d’impotence subit une modification importante, les art. 87 à 88 bis RAI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importante du taux d’invalidité, du degré d’impotence ou encore du besoin de soins ou du besoin d’aide découlant de l’invalidité (let. b).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Si la capacité de gain ou la capacité d’accomplir les travaux habituels de l’assuré se dégrade ou si son impotence ou encore le besoin de soins ou le besoin d’aide découlant de son invalidité s’aggrave, ce changement n’est déterminant pour l’accroissement du droit aux prestations dès qu’il a duré trois mois sans interruption notable (art. 88a al. 2 RAI). S’agissant des effets d’une modification du droit aux prestations par voie de révision, l’art. 88 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 A l’occasion d’une procédure de révision au sens de l’art. 17 LPGA, il convient de déterminer si un changement important des circonstances propre à influencer le droit à la prestation s'est produit (ATF 130 V 343 consid. 3.5.2 ; TF 9C_435/2013 du 27 septembre 2013 consid. 5.1 ; TF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(cf. TF 8C_780/2011 du 4 décembre 2012 et les références).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 Droit de l'assurance-vieillesse et survivants [AVS] et de l'assurance-invalidité [AI], Genève/Zurich/Bâle 2011, p. 609 n° 2263).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 op. cit., n° 2264 p. 610). En présence de troubles d'ordre psychique, et en cas de divergences entre les résultats d’une enquête et les constatations d'ordre médical, celles-ci ont, en règle générale, plus de poids que l'enquête à domicile (cf. TFA [Tribunal fédéral des assurances] I 311/03 du 22 décembre 2003 consid. 5.3 ; TF 9C_201/2011 du</w:t>
      </w:r>
    </w:p>
    <w:p>
      <w:r>
        <w:rPr>
          <w:b/>
        </w:rPr>
        <w:t>E. 5</w:t>
      </w:r>
    </w:p>
    <w:p>
      <w:r>
        <w:t>In casu, il convient en premier lieu d’examiner s’il existe un motif de révision du droit à la prestation, étant rappelé que le point de départ de l’examen d’un changement des circonstances déterminantes est la date du 14 octobre 2013, correspondant à l’émission de la précédente décision de l’intimé par laquelle a été octroyée à la recourante une allocation pour impotent de degré faible. a) Or depuis lors, et jusqu’à la décision litigieuse du 4 août 2017, la situation de la recourante sur le plan physique est demeurée sans modification, du moins sans changement important des circonstances propres à influer le droit à la prestation en cause. Certes, outre une incontinence urinaire présente depuis l’enfance, la recourante se prévaut de graves et chroniques problèmes musculaires et cardiaques et ce, depuis de nombreuses années. Le tableau clinique se caractérise en effet par la présence d’asthénie, d’un manque de force, d’un essoufflement au moindre effort. Toutefois, aucun substrat organique susceptible d’expliquer cette symptomatologie n’a pu être objectivé malgré de multiples investigations, notamment sur le plan respiratoire, cardiaque et neurologique. A cet égard, il sied de relever que la recourante n’a produit aucun document médical susceptible d’étayer une pathologie somatique. Partant, on ne voit pas sérieusement de diagnostic somatique qui serait de nature à fonder l’octroi d’une allocation pour impotence moyenne ou grave. Or, faute d’atteinte à la santé objective qui expliquerait ses difficultés à l’accomplissement des actes ordinaires de la vie et, plus généralement, à la gestion de son quotidien, il y a lieu de nier tout droit à la prestation en cause sur la seule base de l’état de santé physique de la recourante. b) Sur le plan psychique en revanche, une atteinte à la santé a été mise à jour par les Drs D.________ et Muller à l’issue de leur expertise de 2011. Il convient de rappeler que l’intimé a octroyé à la recourante une rente entière d’invalidité à compter du 1 er juillet 2010 (cf. décisions des 5 et 26 novembre 2012 de l’OAI) en raison d’une pathologie psychiatrique, soit un trouble délirant hypocondriaque. Dans un rapport du 20 juillet 2011, les experts D.________ et Muller ont ajouté qu’il s’agissait d’une pathologie grave du registre de la psychose entraînant de lourdes conséquences dans tous les domaines de l’existence, le déni de la recourante faisant partie intégrante de la pathologie. Si les experts ont estimé que les symptômes ressentis par l’expertisée réduisaient fortement ses capacités à s’occuper de son quotidien et d’elle-même, ils n’ont cependant pas procédé à une appréciation de l’autonomie de l’assurée dans les actes de la vie quotidienne, l’intéressée n’ayant à l’époque pas déposé une demande d’allocation pour impotent (laquelle date du 13 juillet 2012). Les experts se sont finalement limités à constater que la recourante bénéficiait notamment d’une aide du CMS pour son ménage et qu’elle recevait les repas à domicile. L’OAI a certes diligenté une enquête au domicile de l’assurée qui a donné lieu au rapport du 1 er décembre 2016. Ce document, s’il fait état d’un compte-rendu circonstancié des troubles et des difficultés affectant le quotidien de l’assurée, se limite à rapporter les déclarations de cette dernière quant aux motifs justifiant l’assistance requise et son étendue. L’enquêtrice de l’OAI a toutefois fait état « d’une assurée démunie et certainement atteinte d’une maladie psychique, ce qu’elle réfute absolument », précisant qu’il « paraît évident qu’elle nécessiterait de l’aide pour accomplir les AVQ », et a sollicité l’aide du SMR pour l’éclairer sur le besoin réel de l’intéressée. Compte tenu des interrogations émises par l’enquêtrice de l’OAI, le rapport d’enquête à domicile ne constitue pas une base fiable pour procéder en toute objectivité à l’examen des critères mis à la reconnaissance d’une impotence d’un degré supérieur dans le cadre d’une problématique exclusivement psychique, mise à part l’incontinence urinaire. c) Partant, l’enquêtrice ayant relevé que la recourante avait besoin d’aide pour accomplir les activités de la vie quotidienne – ce qui constituerait une aggravation par rapport à la situation prévalant en 2013 (rapport d’enquête du 4 février 2013) – l’intimé ne pouvait écarter sans autre les observations de son enquêtrice faute de document médical. On rappellera à cet égard que le déni de la recourante sur la réalité de l’atteinte psychique – lequel fait partie intégrante de la pathologie selon les experts – a pour conséquence que l’intéressée ne produira aucun document médical émanant d’un spécialiste en psychiatrie.</w:t>
      </w:r>
    </w:p>
    <w:p>
      <w:r>
        <w:rPr>
          <w:b/>
        </w:rPr>
        <w:t>E. 6</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doit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s’avère que les faits médicaux pertinents n’ont pas été constatés de manière complète. Il se justifie par conséquent d’ordonner le renvoi de la cause à l’OAl, cette solution apparaissant comme la plus opportune. Il incombera ainsi à l’intimé de procéder à un complément d’expertise auprès des Drs D.________ et Muller du Centre d’expertises du Département de psychiatrie P.________, afin de déterminer si les limitations fonctionnelles psychiques présentées par la recourante entraînent objectivement un besoin d’assistance accru dans l’accomplissement des actes ordinaires de la vie ou d’un accompagnement pour faire face aux nécessités de la vie. Cela fait, il appartiendra ensuite à l’intimé de rendre une nouvelle décision statuant sur les prétentions de la recourante.</w:t>
      </w:r>
    </w:p>
    <w:p>
      <w:r>
        <w:rPr>
          <w:b/>
        </w:rPr>
        <w:t>E. 7</w:t>
      </w:r>
    </w:p>
    <w:p>
      <w:r>
        <w:t>a) Au vu de ce qui précède, il convient en définitive d’admettre le recours et d’annuler la décision rendue le 4 août 2017 par l’intimé, la cause lui étant renvoyée pour instruction complémentaire et nouvelle décision dans le sens des considérants.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La recourante, qui obtient gain de cause sans l'assistance d'un mandataire professionnel pour la défense de ses intérêts, n’a pas droit à des dépens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