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954 vom 24. Oktober 2016</w:t>
      </w:r>
    </w:p>
    <w:p>
      <w:r>
        <w:t>VD Tribunal cantonal, 2016-10-24, FR</w:t>
      </w:r>
    </w:p>
    <w:p>
      <w:r>
        <w:rPr>
          <w:b/>
        </w:rPr>
        <w:t xml:space="preserve">Quelle: </w:t>
      </w:r>
      <w:r>
        <w:t>https://mcp.opencaselaw.ch/entscheid/vd_findinfo_Arr_t___2016___954</w:t>
      </w:r>
    </w:p>
    <w:p>
      <w:r>
        <w:t>FR: VD_FINDINFO Arrêt / 2016 / 954 du 24 octobre 2016</w:t>
      </w:r>
    </w:p>
    <w:p>
      <w:r>
        <w:t>IT: VD_FINDINFO Arrêt / 2016 / 954 del 24 ottobre 2016</w:t>
      </w:r>
    </w:p>
    <w:p>
      <w:pPr>
        <w:pStyle w:val="Heading2"/>
      </w:pPr>
      <w:r>
        <w:t>Regeste</w:t>
      </w:r>
    </w:p>
    <w:p>
      <w:r>
        <w:t>RENTE D'INVALIDITÉ, DÉCISION DE RENVOI, AGGRAVATION DE L'ATTEINTE À LA SANTÉ | 28 LAI, 4 LAI, 6 LPGA, 7 LPGA, 8 al. 1 LPGA</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cf. RCC 1985 p. 53). b) Selon une jurisprudence constante, le juge des assurances sociales apprécie la légalité des décisions attaquées, en règle générale, d'après l'état de fait existant au moment où la décision litigieuse a été rendue ; les faits survenus postérieurement et ayant modifié cette situation doivent faire l'objet d'une nouvelle décision administrative (ATF 131 V 242 consid. 2.1 et 121 V 362 consid. 1b ; TF 9C_193/2012 du 26 juillet 2012). c) le litige porte sur le droit du recourant à se voir octroyer une rente d’invalidité sans limite dans le temps. L’intimé a en effet admis qu’il avait droit à ¾ de rente du 1 er octobre 2011 au 1 er mars 2012 en raison d’une incapacité de gain de 60 %, alors que le recourant prétend ab initio à une rente entière.</w:t>
      </w:r>
    </w:p>
    <w:p>
      <w:r>
        <w:rPr>
          <w:b/>
        </w:rPr>
        <w:t>E. 3</w:t>
      </w:r>
    </w:p>
    <w:p>
      <w:r>
        <w:t>Le bien-fondé d'une décision d'octroi d'une rente temporaire doit être examiné au regard des conditions d'une révision du droit à la rente au sens de l'art. 17 al. 1 LPGA (notamment TF 9C_718/2009 du 4 février 2010 consid. 1.2, 8C_104/2009 du 14 décembre 2009 consid. 2 et 8C_180/2009 du 8 décembre 2009 consid. 3). L'art. 17 LPGA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 voir également ATF 112 V 371 consid. 2b et 387 consid. 1b). Une appréciation différente d'une situation demeurée inchangée pour l'essentiel ne constitue pas un motif de révision (TFA I 491/2003 du 20 novembre 2003 consid. 2.2 in fine et les références). L’assurance-invalidité connaissant un système de rentes échelonnées, la révision se justifie lorsque le degré d’invalidité franchit un taux déterminant (ATF 133 V 545 consid. 6.2 à 7).</w:t>
      </w:r>
    </w:p>
    <w:p>
      <w:r>
        <w:rPr>
          <w:b/>
        </w:rPr>
        <w:t>E. 4</w:t>
      </w:r>
    </w:p>
    <w:p>
      <w:r>
        <w:t>a) L'invalidité se définit comme l'incapacité de gain totale ou partielle qui est présumée permanente ou de longue durée, résultant d'une infirmité congénitale, d'une maladie ou d'un accident (art. 8 al. 1 LPGA et 4 al. 1 LAI). L'incapacité de gain consiste en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w:t>
      </w:r>
    </w:p>
    <w:p>
      <w:r>
        <w:rPr>
          <w:b/>
        </w:rPr>
        <w:t>E. 6</w:t>
      </w:r>
    </w:p>
    <w:p>
      <w:r>
        <w:t>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il apparaît que l’OAI, qui admet une aggravation de l’état de santé du recourant, dont on peine à comprendre quelle en est l’origine retenue (celle relevée par le Dr S.________ le 31 mars 2014 ou par le Dr  L.________ le 6 mai 2015), devrait de toute façon pour cette raison déjà mettre en œuvre une expertise afin de déterminer la date à laquelle cette aggravation est survenue. Admettant de surcroît l’existence probable d’un trouble somatoforme douloureux, l’intimé n’a jamais eu l’occasion d’instruire ce point mis en évidence par le dernier psychiatre traitant du recourant, ni d’ailleurs les diagnostics de syndrome post-commotionnel et de modification durable de la personnalité après une expérience de catastrophe. Il a au demeurant statué sur la base de rapports médicaux rapportés du dossier de la CNA (rapport de la Clinique P.________ du 7 décembre 2011) dont les critères d’évaluation de l’invalidité ne sont pas forcément superposables aux siens propres. Dans ces circonstances, il se justifie d’ordonner le renvoi de la cause à l’OAI, cette solution apparaissant comme la plus opportune en l’espèce. Il y a donc lieu de renvoyer l'affaire à l’intimé pour qu'il en complète l'instruction par la mise en œuvre d'une expertise pluridisciplinaire (axée notamment sur les domaines rhumatologique, psychiatrique et neuropsychiatrique, étant ici expressément réservée la faculté d’y associer, le cas échéant, toute autre spécialité médicale jugée opportune par les experts) au sens de l’art. 44 LPGA, puis qu'il procède aux mesures d'investigation adéquates aux fins de déterminer le rendement de l’assuré dans l’activité habituelle ou dans une éventuelle activité adaptée. Il appartiendra ensuite à l'OAI, sur la base des données ainsi récoltées, de rendre une nouvelle décision.</w:t>
      </w:r>
    </w:p>
    <w:p>
      <w:r>
        <w:rPr>
          <w:b/>
        </w:rPr>
        <w:t>E. 7</w:t>
      </w:r>
    </w:p>
    <w:p>
      <w:r>
        <w:t>a) En conclusion, le recours doit être admis et la décision attaquée annulée, la cause étant renvoyée à l’intimé pour complément d’instruction au sens des considérants et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ces derniers à 400 fr. et de les mettre à charge de l'OAI, qui succombe. Le recourant, qui obtient gain de cause avec l'assistance d'un mandataire, a droit à des dépens (cf. art. 61 let. g LPGA), qu'il convient d'arrêter à 2500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