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931 vom 16. Januar 2017</w:t>
      </w:r>
    </w:p>
    <w:p>
      <w:r>
        <w:t>VD Tribunal cantonal, 2017-01-16, FR</w:t>
      </w:r>
    </w:p>
    <w:p>
      <w:r>
        <w:rPr>
          <w:b/>
        </w:rPr>
        <w:t xml:space="preserve">Quelle: </w:t>
      </w:r>
      <w:r>
        <w:t>https://mcp.opencaselaw.ch/entscheid/vd_findinfo_Arr_t___2016___931</w:t>
      </w:r>
    </w:p>
    <w:p>
      <w:r>
        <w:t>FR: VD_FINDINFO Arrêt / 2016 / 931 du 16 janvier 2017</w:t>
      </w:r>
    </w:p>
    <w:p>
      <w:r>
        <w:t>IT: VD_FINDINFO Arrêt / 2016 / 931 del 16 gennaio 2017</w:t>
      </w:r>
    </w:p>
    <w:p>
      <w:pPr>
        <w:pStyle w:val="Heading2"/>
      </w:pPr>
      <w:r>
        <w:t>Regeste</w:t>
      </w:r>
    </w:p>
    <w:p>
      <w:r>
        <w:t>RÉCUSATION, DROIT D'ÊTRE ENTENDU, SIGNATURE, RENTE D'INVALIDITÉ, NOUVELLE DEMANDE, EXPERTISE PLURIDISCIPLINAIRE, OBSERVATION DU DÉLAI, INTERPRÈTE, FORCE PROBANTE, FIBROMYALGIE, ENQUÊTE{EN GÉNÉRAL}, TENUE DU MÉNAGE | 29 al. 1 Cst., 29 al. 2 Cst., 28 LAI, 17 LPGA, 36 LPGA, 6 LPGA, 7 LPGA, 8 LPGA</w:t>
      </w:r>
    </w:p>
    <w:p>
      <w:pPr>
        <w:pStyle w:val="Heading2"/>
      </w:pPr>
      <w:r>
        <w:t>Erwägungen</w:t>
      </w:r>
    </w:p>
    <w:p>
      <w:r>
        <w:rPr>
          <w:b/>
        </w:rPr>
        <w:t>E. 1</w:t>
      </w:r>
    </w:p>
    <w:p>
      <w:r>
        <w:t>let. a LPA-VD). b) En l'espèce, le recours a été interjeté dans le délai légal de trente jours (cf. art. 60 al. 1 LPGA). Il satisfait en outre aux autres conditions légales (cf. art. 61 let. b LPGA notamment), de sorte qu’il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En outre, le juge n'a pas l'obligation d'exposer et de discuter tous les faits, moyens de preuve et griefs invoqués par les parties, mais peut au contraire se limiter à l'examen des questions décisives pour l'issue du litige (ATF 138 IV 81 consid. 2.2 ; 134 I 83 consid. 4.1 et les arrêts cités). b) Dans la décision contestée, l’OAI a refusé à la recourante le droit à des prestations d’assurance-invalidité, plus particulièrement le droit à une rente et à une mesure de reclassement. Dans la mesure où la recourante ne remet pas en question le refus d’une mesure de reclassement dans son recours, le présent litige porte seulement sur le droit de la recourante à une rente d'invalidité.</w:t>
      </w:r>
    </w:p>
    <w:p>
      <w:r>
        <w:rPr>
          <w:b/>
        </w:rPr>
        <w:t>E. 3</w:t>
      </w:r>
    </w:p>
    <w:p>
      <w:r>
        <w:t>En premier lieu, la recourante fait valoir des griefs d’ordre formel. Elle considère que la gestionnaire de dossier à l’origine du projet de décision a fait preuve d’a priori à son égard pendant l’instruction et que l’objectivité fait défaut dans la mesure où elle est restée en charge de la décision après le dépôt des objections. La recourante se prévaut par ailleurs de l’art. 5 let. b RLOAI (règlement d’application du 3 décembre 1993 de la loi du 14 septembre 1993 instituant l’office de l’assurance-invalidité pour le Canton de Vaud ; RSV 831.01.1), lequel confère au directeur de l’OAI la compétence de traiter avec les assurés, pour soutenir que la décision aurait dû être signée par le directeur. Enfin, elle invoque implicitement une violation de son droit d’être entendue dans la mesure où elle reproche à l’OAI de ne s’être prononcé sur aucun des éléments qu’elle a présentés dans ses objections. a) aa)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Le droit à un procès équitable, ancré à l’art. 29 al. 1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137 II 431 consid. 5.2 ; 127 I 196 consid. 2b ; 125 I 119 consid. 3b et réf. citées). De manière générale, les dispositions sur la récusation sont moins sévères pour les membres des autorités administratives que pour les autorités judiciaires. Contrairement à l'art. 30 al. 1 Cst. applicable à la procédure judiciaire,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Tel est plus particulièrement le cas lorsque l'autorité, dans le but d'inviter le justiciable à se déterminer dans le cadre de son droit d'être entendu, émet un avis provisoire sur le sort du litige (ATF 137 II 431 consid. 5.2 ; 125 I 119 consid. 3f ; voir également TF 2C_831/2011 du 30 décembre 2011 consid. 3.2). De même, une partie ne peut pas justifier le devoir de récusation d'une personne au seul motif que cette personne a, dans une procédure antérieure, pris une décision à son détriment ou contribué à une prise de décision antérieure la concernant (cf. ATF 114 Ia 278 consid. 1 ; TF 2C_794/2011 du 22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art. 36 al. 1 LPGA et 10 PA [loi fédérale du 20 décembre 1968 sur la procédure administrative ; RS 172.021]; voir TF 9C_499/2013 du 20 février 2014 consid. 5.2 et réf. citées). bb) En l’occurrence, s’agissant d’éventuels motifs de récusation à l’égard de la gestionnaire de dossier survenus en cours d’instruction, il appartenait à la recourante de les soulever en temps utile devant l’OAI (sur la notion « d’autorité de surveillance » de l’art. 36 al. 2 LPGA, cf. TF U 302/05 du 30 août 2006 consid. 3.2 ; Ueli Kieser, ATSG-Kommentar, 3 e éd., 2015, ad art. 36 p. 518ss). En outre, la LPGA et la LAI, de même que leurs dispositions d’application, n’imposent pas la récusation d’office de l’auteur d’un projet de décision en cas de contestation de cet acte. Au contraire, selon la jurisprudence, le seul fait d’émettre un avis provisoire sur le sort du litige n’est pas une circonstance de nature à fonder une apparence de prévention. Il n’y avait donc aucune raison justifiant que la gestionnaire de dossier se dessaisisse de l’affaire suite aux objections formulées par la recourante contre le projet de décision. Pour le surplus, la recourante ne présente aucun motif objectif de récusation à l’encontre de la gestionnaire de dossier. Elle se contente d’affirmer que celle-ci a fait preuve d’a priori à son égard lors de l’instruction sans toutefois citer d’éléments concrets. Les pièces du dossier ne font par ailleurs pas ressortir de circonstances susceptibles de fonder une apparence de prévention de la part de la gestionnaire de dossier. Ce grief doit dès lors être écarté. b) S’agissant de la validité de la signature apposée sur la décision attaquée, il faut constater que ni la LPGA, ni la LAI, ni leurs dispositions d’application, y compris la législation cantonale, n’imposent un mode de signature particulier pour les décisions formelles. On ne saurait par ailleurs déduire de la teneur de l’art. 5 RLOAI que seul le directeur de l’OAI a qualité pour signer les décisions formelles. En effet, cette disposition a pour seul but de distinguer les attributions du directeur de l’OAI de celles du conseil de l’OAI. La Circulaire sur la procédure dans l’assurance-invalidité (CPAI) établie par l’Office fédéral des assurances sociales (OFAS) renvoie à la Circulaire sur le contentieux dans l’AVS, l’AI, les APG et les PC (CCONT) pour ce qui concerne la signature de décisions et de communications (cf. ch. 3002 p. 59 CPAI [état au 1 er janvier 2016]). La CCONT prévoit que la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 d’un ordinateur (ch. 1007 CCONT [état le 1 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(cf. ATF 138 II 501 consid. 3.1 et 131 V 483 consid. 2.3.1 ; TF 1P.330/2000 du 12 décembre 2000 consid. 3b, partiellement publié in ATF 127 I 44). En l’occurrence, il n’y a pas lieu de douter que la gestionnaire de dossier en charge du cas de l’assurée était habilitée à signer la décision attaquée au nom de l’OAI au sens des circulaires précitées. Il faut de plus constater qu’elle a apposé sa signature manuscrite non seulement sur la décision du 4 août 2015, mais également sur la motivation qui l’accompagnait. Au demeurant, la recourante ne fait pas valoir qu’elle aurait subi un préjudice en relation avec la notification de cette décision (cf. ATF 122 I 97 consid. 3a/aa et TF U 68/02 du 14 avril 2003 consid. 1), si bien qu’il n’y a aucune raison de remettre en cause la validité de celle-ci. c) S’agissant du fait que l’OAI ne s’est pas exprimé sur les objections formulées par la recourante au projet de décision du 16 avril 2015, il faut rappeler que les exigences de motivation découlant du droit d’être entendu, garanti à l’art. 29 al. 2 Cst., n’impliquent pas l'obligation pour l’autorité, respectivement le juge, d'exposer et de discuter tous les faits, moyens de preuve et griefs invoqués par les parties, mais ceux-ci peuvent au contraire se limiter à l'examen des questions décisives pour l'issue du litige. L’autorité qui rend la décision doit ainsi mentionner, au moins brièvement, les motifs qui l'ont guidée et sur lesquels elle a fondé sa décision, de manière à ce que l'intéressé puisse se rendre compte de la portée de celle-ci et l'attaquer en connaissance de cause (ATF 141 V 557 consid. 3.2.1 ; 138 IV 81 consid. 2.2 ; 134 I 83 consid. 4.1 et les arrêts cités). Or il faut constater que l’OAI a clairement exposé dans la décision attaquée les motifs qui l’ont conduit à nier le droit de l’assurée à une rente d’invalidité et qu’il n’avait pas l’obligation de confronter chacun des arguments avancés par celle-ci. On ne saurait dès lors y voir une violation du droit d’être entendu de la recourante. d) En l’absence de vices formels, il convient de passer à l’examen matériel du cas et d’examiner si c’est à juste titre que l’OAI a refusé à la recourante le droit à une rente d’invalidité.</w:t>
      </w:r>
    </w:p>
    <w:p>
      <w:r>
        <w:rPr>
          <w:b/>
        </w:rPr>
        <w:t>E. 4</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(en vigueur depuis le 1 er janvier 2008),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c)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133 V 108 consid. 5 ; 130 V 343 consid. 3.5 et 125 V 368 consid. 2 ; TF 9C_818/2015 du 22 mars 2016 consid. 2.2).</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c)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(TF 9C_512/2013 du 16 janvier 2014 consid. 5.2.1 et références citées).</w:t>
      </w:r>
    </w:p>
    <w:p>
      <w:r>
        <w:rPr>
          <w:b/>
        </w:rPr>
        <w:t>E. 6</w:t>
      </w:r>
    </w:p>
    <w:p>
      <w:r>
        <w:t>La recourante invoque de nombreux arguments d’ordre formel à l’encontre de l’expertise réalisée par le N.________. a) Tout d’abord, elle remet en cause l’indépendance des médecins du N.________ en raison des liens de cette institution avec l’OAI. Dans l’ATF 137 V 210, le Tribunal fédéral a introduit le principe du hasard dans l'attribution des mandats d'expertise et estimé nécessaire d'améliorer les exigences de qualité et de contrôle des centres d'expertise et d'élargir les droits de participation des parties. L’art. 72 bis RAI, en vigueur depuis le 1 er mars 2012, prévoit désormais que les expertises pluridisciplinaires sont confiées, par le biais d’une attribution aléatoire des mandats, à des centres d’expertises médicales également appelés Centres d’observation médicale de l’AI (COMAI), qui sont liés à l’OFAS par convention cadre. Le N.________ est l’un des six centres d’expertises de Suisse romande qui avait conclu un tel contrat avec l’OFAS en 2014 (cf. SuisseMED@P, Rapport 2014, p. 5). La recourante n’expose pas en quoi les garanties de procédure mises en place par l’ATF 137 V 210 n’auraient pas été respectées. En outre, le Tribunal fédéral a eu l’occasion de préciser que le fait qu'un médecin ou un COMAI se voit confier régulièrement des mandats d'expertise par un assureur social n'est pas un motif suffisant pour fonder un manque d'objectivité (ATF 137 V 210 consid. 1.3.3). b) La recourante estime que le délai de reddition de l’expertise a été trop long. La convention cadre qui lie l’OFAS aux différents centres d’expertise prévoit à son art. 6 let. b un délai calendaire de 110 jours pour l’établissement d’une expertise. Le manuel SuisseMED@P, qui fait partie intégrante de cette convention (cf. art. 2 de la convention), précise que ce délai commence à courir à réception du dossier par le COMAI et s’achève à la date d’envoi du rapport d’expertise à l’OAI. Il est vrai qu’en l’espèce, le délai de 110 jours a été dépassé, le N.________ ayant reçu le dossier de l’assurée le 30 juillet 2014 et ayant rendu son rapport d’expertise le 20 mars 2015. La recourante ne peut toutefois tirer aucun argument de ce retard. D’une part, elle n’est pas partie à la convention, laquelle règle expressément les conséquences du non-respect de ce délai par un COMAI et ne confère aucune compétence à la Cour des assurances sociales, mais réserve le règlement des litiges par le tribunal arbitral cantonal. D’autre part, la recourante ne démontre pas, dans le cas particulier, l’existence d’une perte d’informations consécutive à la durée du délai de reddition de l’expertise. c) Rappelant son manque de maîtrise de la langue française, la recourante soutient que le rapport d’expertise ne permet pas de vérifier si un interprète a effectivement été présent et reproche au N.________ d’avoir refusé que son mari l’accompagne lors des examens. Selon la jurisprudence (cf. par exemple TF 9C_262/2015 du 8 janvier 2016 consid. 5.1 ; 9C_287/2012 du 18 septembre 2012 consid. 4.1), il appartient à l'expert, dans le cadre de l'exécution soigneuse de son mandat, de décider si l'examen médical doit être effectué dans la langue maternelle de l'assuré ou avec le concours d'un interprète ; le choix de l'interprète, ainsi que la question de savoir si, le cas échéant, certaines phases de l'instruction médicale doivent être exécutées en son absence pour des raisons objectives et personnelles, relèvent également de la décision de l'expert. Les Lignes directrices de qualité des expertises psychiatriques dans le domaine de l’Assurance-invalidité éditées par la Société suisse de psychiatrie et de psychothérapie (ci-après : les lignes directrices), qui font office de standard en la matière (cf. ATF 140 V 260 consid. 3.2.2), excluent en principe la présence de tiers durant une expertise psychiatrique, hormis celle d’un interprète professionnel (cf. ch. 3 p. 12ss des lignes directrices, dans leur version de février 2012). Le recours à des proches pour fonctionner en tant qu’interprète est en principe exclu (cf. ATF 140 V 260 consid. 3.2.4 et 3.3.1 ; lignes directrices p. 14). En l’occurrence, un interprète a été sollicité par le N.________ et a fonctionné à ce titre comme cela ressort du rapport d’expertise, qui mentionne la présence d’un traducteur sur la page de garde et indique dans la partie « Status psychique » (p. 16) comment la recourante a réagi face à ce dernier. Certes, celle-ci a dans un premier temps exprimé de la réticence à l’égard de cet interprète, pour finalement l’accepter. L’absence de mention du nom de l’interprète et de son coût est sans incidence. Pour le surplus, la recourante n’a pas soulevé de motifs de récusation à son égard en temps voulu. Par ailleurs, elle ne fait pas la démonstration d’une erreur dans l’expertise résultant d’un problème de traduction. Selon les lignes directrices, l’investigation proprement dite se déroule avec la personne expertisée seule, en dehors de cas exceptionnels dûment motivés. Dans le cas présent, l’exclusion du mari de la recourante s’imposait à l’évidence, que ce soit comme accompagnant ou interprète, en raison de l’influence consciente ou inconsciente qu’est susceptible d’exercer la présence d’un conjoint sur l’autre, de l’existence d’une éventuelle relation de dépendance et enfin du risque d’une traduction non objective ou orientée. d) La recourante taxe les experts de partialité, mesquinerie et xénophobie. Selon la jurisprudence, un expert passe pour prévenu lorsqu'il existe des circonstances propres à faire naître un doute sur son impartialité (cf. art. 10 al. 1 PA et 36 al. 1 LPGA).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En l’espèce, la recourante ne fait état d’aucun élément objectif susceptible de remettre en cause la partialité des experts du N.________, la seule mention des termes « une assurée égyptienne » ou d’un époux « compatriote égyptien » alors qu’elle a acquis la nationalité suisse n’est en l’espèce à l’évidence pas significative d’une prévention raciale. Il s’agit, replacée dans son contexte, d’une erreur rédactionnelle, au demeurant sans conséquence sur la valeur de l’expertise. Il convient par conséquent d’écarter le grief soulevé par la recourante. e) Celle-ci critique également l’absence d’informations quant à la séance interdisciplinaire des experts et à la relecture du rapport d’expertise. Ce qui est déterminant à cet égard c’est que la synthèse et la discussion soient présentes dans le rapport d’expertise (cf. consid. 5b supra sur les réquisits jurisprudentiels en matière de valeur probante). Les experts ne sont pas astreints à présenter un relevé temporel de leurs opérations et le fait que des informations détaillées à ce sujet ne figurent pas n’est pas susceptible de remettre en cause la valeur probante de l’expertise. De même, le médecin en charge de la relecture n’intervient pas en qualité d’expert, de telle sorte que l’omission de son identité est sans conséquence. S’agissant des griefs d’ordre rédactionnel soulevés par la recourante, ils sont sans pertinence, étant par ailleurs précisé qu’il est normal que le rapport d’expertise mette en évidence les déclarations de l’assurée puisqu’il doit tenir compte des plaintes de la personne examinée et décrire de manière détaillée le contexte médical.</w:t>
      </w:r>
    </w:p>
    <w:p>
      <w:r>
        <w:rPr>
          <w:b/>
        </w:rPr>
        <w:t>E. 7</w:t>
      </w:r>
    </w:p>
    <w:p>
      <w:r>
        <w:t>Sur le fond, la recourante reproche à l’OAI de s’être basé sur les conclusions de l’expertise et de ne pas avoir pris en compte celles de ses médecins-traitants ni les résultats de ses stages professionnels. En l’occurrence, l’assurée ayant déposé une nouvelle demande de prestations AI, il s’agit de déterminer si son état de santé s’est aggravé depuis la dernière décision du 14 juin 2010, laquelle reposait, sur le plan somatique, sur l’examen clinique rhumatologique du SMR du 4 novembre 2009. a) Contrairement à ce que la recourante invoque, il faut constater que l’expertise du N.________ est concluante et répond aux réquisits jurisprudentiels en matière de valeur probante. S’agissant en particulier des incohérences intrinsèques à l’expertise que la recourante fait valoir, elles concernent les observations des experts en rapport avec son comportement lors de l’examen, lesquelles peuvent diverger sensiblement des plaintes qu’elle émet, sans que la valeur probante de l’expertise ne soit remise en cause. b) Sur le plan somatique, il faut constater que dans le cadre de sa nouvelle demande de prestations, l’assurée n’a produit aucun rapport d’un médecin rhumatologue ou neurologue attestant d’une aggravation de son état de santé. L’expertise retient le diagnostic de tendinopathie chronique du sus-épineux gauche et indique également la présence de dégénérescences discovertébrales lombaires, qui ne dépassent toutefois pas ce qu'on observe dans la norme chez des personnes asymptomatiques de son âge. La comparaison de l’expertise avec l’examen clinique du SMR de novembre 2009 ne révèle pas d’aggravation, ce que les experts constatent également. Le rapport de la fondation W.________ est certes pessimiste. Il ne démontre cependant pas une incapacité de travail mais relève une diminution de rendement en raison des douleurs, lesquelles sont alléguées par la recourante mais pas objectivées par les responsables de stages. Leur seule observation sur ce point se rapporte à la tolérance de la position assise avec néanmoins la nécessité de se lever régulièrement. Or, parmi les limitations fonctionnelles énumérées dans le rapport SMR du 4 novembre 2009 figurait notamment le fait pour l’assurée de ne pas pouvoir rester assise plus d’une heure d’affilée. Dans le rapport d’expertise, les experts ont estimé que les discrets troubles dégénératifs lombaires ne permettaient pas de fixer une limitation fonctionnelle avec certitude et retenaient que la recourante devait si possible éviter les travaux physiquement lourds ou contraignants pour le dos. Il en résulte que l’état de santé de la recourante en relation avec ses lombalgies ne s’est pas aggravé, voire apparaît s’être amélioré en ce qui concerne les limitations fonctionnelles. En ce qui concerne les céphalées dont la recourante se plaint, les experts retiennent que leur durée et leur fréquence ne justifient pas une incapacité de travail. Parmi les documents produits par l’assurée, seul le rapport médical du Dr X.________ évoque une suspicion de migraine, sans toutefois attester de la présence régulière de céphalées ou d’une incapacité de travail y relative. Il faut au contraire relever que lors de l’expertise, l’assurée a indiqué souffrir de céphalées à raison de plusieurs épisodes par mois, lesquelles étaient cependant bien calmées par un traitement d'Aspégic. En outre, cette atteinte à la santé n’est pas nouvelle. Les rapports médicaux des Dr R.________ et S.________ des 11 mai 2009 et 3 avril 2010, produits dans le cadre de la première demande de prestations AI, faisaient déjà état chez l’assurée de céphalées d’origine mixte, tensionnelle et migraineuse. En mars 2013, un syndrome d’apnées obstructives du sommeil a été diagnostiqué chez l’assurée. Un traitement par appareillage n’a toutefois pas pu être mis en place en raison d’une sensation immédiate d’étouffement de nature « claustrophobique ». Il faut constater que les apnées du sommeil diagnostiquées sont de sévérité moyenne et que les rapports médicaux produits ne font pas état de conséquences fonctionnelles ni d’une diminution de la capacité de travail consécutive à celles-ci. Dans son recours, l’assurée fait valoir qu’elle souffre d’une fatigue importante qui influe sur sa capacité de travail et l’oblige à faire la sieste. Aucun document médical n’a toutefois été produit à ce sujet. De plus, on peut rappeler à la recourante son obligation de réduire le dommage, laquelle implique l’obligation de se soumettre aux traitements médicaux existants. En effet, selon la jurisprudence (ATF 113 V 28 consid. 4a et les références ; TF I 404/05 du 19 septembre 2006 consid. 7), le principe de la réadaptation par soi-même exige de l'assuré qu'il entreprenne de lui-même tout ce qui est convenable pour améliorer sa capacité de gain, en premier lieu par l'épuisement de toutes les possibilités de traitements. Le rapport médical du 18 octobre 2015 est quant à lui irrecevable dans le cadre de la présente procédure puisqu’il se rapporte à des faits postérieurs à la décision attaquée et ne comporte aucune mention d’une atteinte incapacitante antérieure à cette décision. En effet,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à moins d’être étroitement liés à l'objet du litige et de nature à influencer l'appréciation au moment où la décision attaquée a été rendue (ATF 131 V 242 consid. 2.1 ; 121 V 362 consid. 1b ; TF 9C_899/2013 du 24 février 2014 consid. 4.3), ce qui n’est pas le cas en l’occurrence. b) Sur le plan psychique, à l’exception du trouble obsessionnel compulsif, l’expertise décrit, parfois sous une formulation différente, les mêmes plaintes et relations d’événements par la recourante que le rapport de la Dresse J.________, mais aboutit à des diagnostics différents. L’expert pose celui d’accentuation de traits de la personnalité, notamment dépendante, là où le psychiatre traitant diagnostique un trouble de la personnalité dépendante. La Dresse J.________ pose le diagnostic de phobie sociale et de claustrophobie, se référant à des crises d’angoisse à type d’attaque de panique avec phénomène de dépersonnalisation. Des épisodes de crises de panique sont également mentionnés par le Dr X.________ et la physiothérapeute H.________ dans leurs rapports médicaux. L’expert, quant à lui, retient un état anxieux d’intensité légère, fluctuante en lieu et place de la phobie sociale et de la claustrophobie, en expliquant que s’il existe certaines manifestations neurovégétatives, elles ne revêtent pas les caractéristiques de véritables crises de panique. Selon lui, l’évitement social n’est pas significatif d’une véritable phobie sociale, ni d’inhibition de principe mais la résultante du contexte socio-culturel. S’agissant du trouble obsessionnel compulsif, l’expert ne l’a selon toute évidence pas observé à la faveur de son examen, ni d’ailleurs les responsables du stage aux W.________. La Dresse J.________ mentionne à ce sujet que l’assurée lui a signalé des rituels de lavage avec plusieurs épisodes dans la journée. A priori, même avérée, cette affection ne serait pas incapacitante vu sa nature. Cela étant, les diagnostics du médecin traitant et de l’expert ne s’avèrent pas contradictoires. Il s’agit simplement de l’appréciation, différente, exprimée en termes de diagnostic, d’une situation identique. Enfin, le psychiatre traitant ne fait aucune mention d’une incapacité de travail en relation avec les diagnostics posés. Elle se réfère uniquement au contenu du rapport de stage, selon lequel l’assurée pourrait exercer une activité à 40 % dans un atelier adapté. Au vu de l’ensemble de ce qui précède, il n’y a pas lieu de s’écarter des conclusions de l’expert, à savoir que la recourante ne présente aucune incapacité de travail psychique. c) L’expertise mentionne en outre l’existence d’une fibromyalgie, précisant que l’assurée présente tous les points de cette maladie. Les experts retiennent ainsi le diagnostic, non incapacitant, de fibromyalgie dans le cadre d’un trouble somatoforme. Ils précisent cependant que ce diagnostic n’est pas évident en raison de l’absence d’annonce de douleurs diffuses intéressant autant la ceinture scapulaire que pelvienne. aa)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p. 291 ss et 3.5 p. 294) et introduit un nouveau schéma d'évaluation au moyen d'un catalogue d'indicateurs (ATF 141 V 281 consid. 4 p. 296).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bb) En l’occurrence, l’expertise met en évidence une discordance entre les plaintes annoncées et l’absence de difficulté apparente à la mobilisation du membre supérieur gauche ainsi que l’absence de comportement algique spontané. L’expert en médecine interne relève en outre clairement le manque de collaboration de la recourante, précisant que celle-ci procède à des blocages antalgiques, par moments à des lâchages, mouvements de retrait, grimaces et interposition de ses mains sous la main de l’expert. L’assurée est décrite comme collaborante, mais assez démonstrative par l’expert neurologique. Celui-ci estime que les différentes plaintes de la patiente restent de signification très douteuse sur le plan fonctionnel. Il précise que l’examen des capacités fonctionnelles corrobore l’impression clinique, à savoir que la recourante présente des autolimitations ainsi qu’une tendance à surcharger ses plaintes et qu’il existe une discordance entre les capacités fonctionnelles résiduelles qu’elle mentionne et la réalité objective. L’ensemble de ces éléments plaide en faveur d’un motif d’exclusion au sens de la jurisprudence (cf. consid. 2.2 de l’ATF 141 V 281). Dès lors, il se justifie de suivre les conclusions de l’expertise, selon lesquelles le diagnostic de fibromyalgie, respectivement de trouble somatoforme douloureux, n’a pas un caractère invalidant. d) Au vu de ce qui précède, on ne saurait reprocher à l’OAI d’avoir suivi les conclusions de l’expertise, étant rappelé que les facteurs psycho-sociaux ou socio-culturels ne relèvent pas de l’assurance-invalidité et ne peuvent justifier une incapacité de travail au sens de cette assurance sociale (TF 9C_700/2009 du 29 mars 2010 consid. 4.2.4.3 et la référence).</w:t>
      </w:r>
    </w:p>
    <w:p>
      <w:r>
        <w:rPr>
          <w:b/>
        </w:rPr>
        <w:t>E. 8</w:t>
      </w:r>
    </w:p>
    <w:p>
      <w:r>
        <w:t>Finalement, la recourante revient sur les conclusions de l’enquête ménagère, invoquant ne pas être capable d’effectuer les tâches du ménage, lesquelles sont prises en charge par son mari, ses enfants ainsi qu’une aide-ménagère. A noter que lors de l’enquête réalisée le 29 mars 2010, la recourante bénéficiait déjà d’une aide-ménagère du Centre médico-social (CMS) à raison de deux heures par semaine depuis octobre 2009 (cf. p. 5 du rapport d’Enquête économique sur le ménage). Il faut constater que la recourante ne fait valoir aucun élément nouveau depuis la décision du 14 juin 2010 et reprend au contraire pour l’essentiel la même argumentation que celle qu’elle avait présentée contre le projet de décision négative du 22 avril 2010. Au demeurant, il n’y a aucune raison de remettre en cause les conclusions de cette enquête (sur la valeur probante d’un rapport d’enquête ménagère, cf. ATF 128 V 93). Les experts se sont par ailleurs prononcés en connaissance de ce rapport d’enquête (cf. p. 2, 6 et 7 du rapport d’expertise), l’ont mis en relation avec les déclarations de l’expertisée (cf. p. 11 de l’expertise) et admettent également une incapacité dans les activités ménagères à hauteur de 30 %.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(ATF 133 V 504 consid. 4.2 ; TF 9C_925/2013 du 1 er avril 2014 consid. 2.3 et les références). Cela est d’autant plus exigible dans la situation de la recourante que son mari et ses enfants vivent sous le même toit et que ces derniers sont devenus plus autonomes.</w:t>
      </w:r>
    </w:p>
    <w:p>
      <w:r>
        <w:rPr>
          <w:b/>
        </w:rPr>
        <w:t>E. 9</w:t>
      </w:r>
    </w:p>
    <w:p>
      <w:r>
        <w:t>a) En conclusion, c’est à juste titre que l’OAI a rejeté la nouvelle demande de rente d’invalidité déposée par l’assurée. b) Le dossier étant complet, permettant ainsi à la présente autorité de statuer en pleine connaissance de cause, il n'y a pas lieu d'ordonner une instruction complémentaire sous la forme d'une nouvelle expertise ni d’entendre des témoins. En effet, de telles mesures d'instruction ne seraient pas de nature à modifier les considérations qui précèdent, puisque les faits pertinents ont pu être constatés à satisfaction de droit (sur l'appréciation anticipée des preuves cf. ATF 137 III 208 consid. 2.2 p. 210 ; ATF 135 II 286 consid. 5.1 p. 293 ; ATF 134 I 140 consid. 5.2 p. 147 s.; ATF 130 II 425 consid. 2.1 p. 429).</w:t>
      </w:r>
    </w:p>
    <w:p>
      <w:r>
        <w:rPr>
          <w:b/>
        </w:rPr>
        <w:t>E. 10</w:t>
      </w:r>
    </w:p>
    <w:p>
      <w:r>
        <w:t>a) En conséquence,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Toutefois, dès lors qu’elle a été mise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c) Enfin, la recourante n’obtenant pas gain de cause, il n’y a pas lieu d’allouer de dépens, celle-ci ayant au demeurant agi sans l’aide d’un mandataire professionnel (61 let. g LPGA et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