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880 vom 30. September 2016</w:t>
      </w:r>
    </w:p>
    <w:p>
      <w:r>
        <w:t>VD Tribunal cantonal, 2016-09-30, FR</w:t>
      </w:r>
    </w:p>
    <w:p>
      <w:r>
        <w:rPr>
          <w:b/>
        </w:rPr>
        <w:t xml:space="preserve">Quelle: </w:t>
      </w:r>
      <w:r>
        <w:t>https://mcp.opencaselaw.ch/entscheid/vd_findinfo_Arr_t___2016___880</w:t>
      </w:r>
    </w:p>
    <w:p>
      <w:r>
        <w:t>FR: VD_FINDINFO Arrêt / 2016 / 880 du 30 septembre 2016</w:t>
      </w:r>
    </w:p>
    <w:p>
      <w:r>
        <w:t>IT: VD_FINDINFO Arrêt / 2016 / 880 del 30 settembre 2016</w:t>
      </w:r>
    </w:p>
    <w:p>
      <w:pPr>
        <w:pStyle w:val="Heading2"/>
      </w:pPr>
      <w:r>
        <w:t>Regeste</w:t>
      </w:r>
    </w:p>
    <w:p>
      <w:r>
        <w:t>CURATELLE, MESURE PROVISIONNELLE, COMPARUTION PERSONNELLE, INTERPRÈTE, LANGUE | 398 CC, 445 CC</w:t>
      </w:r>
    </w:p>
    <w:p>
      <w:pPr>
        <w:pStyle w:val="Heading2"/>
      </w:pPr>
      <w:r>
        <w:t>Erwägungen</w:t>
      </w:r>
    </w:p>
    <w:p>
      <w:r>
        <w:rPr>
          <w:b/>
        </w:rPr>
        <w:t>E. 1.1</w:t>
      </w:r>
    </w:p>
    <w:p>
      <w:r>
        <w:t>Le recours est dirigé contre une décision de la justice de paix instituant une curatelle provisoire de portée générale, en application des art. 398 et 445 al. 1 CC (Code civil suisse du 10 décembre 1907 ; RS 210).</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dix jours dès la notification de la décision (art. 445 al.</w:t>
      </w:r>
    </w:p>
    <w:p>
      <w:r>
        <w:rPr>
          <w:b/>
        </w:rPr>
        <w:t>E. 1.3</w:t>
      </w:r>
    </w:p>
    <w:p>
      <w:r>
        <w:t>En l'espèce, interjeté en temps utile par la personne concernée, partie à la procédure, le présent recours est recevable. Le recours étant manifestement mal fondé au vu des considérations qui seront développées ci-après, il a été renoncé à consulter l'autorité de protection (cf. art. 450d al. 1 CC).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 3 s. ad art. 492 CPC-VD, p. 763, point de vue qui demeure valable sous l’empire du nouveau droit). 2.2 La procédure devant l’autorité de protection est régie par les art. 443 s. CC. En particulier, selon l’art. 447 al. 1 CC, lorsque la personne concernée doit faire l'objet d'une curatelle, elle doit être entendue personnellement par l'autorité de protection. Le droit d'être entendu, garantie de nature formelle, comprend notamment celui de se faire représenter et assister (art. 29 al. 2 Cst. [Constitution fédérale de la Confédération suisse du 18 avril 1999 ; RS 101] et 6 parag. 3 let. a et c CEDH [Convention de sauvegarde des droits de l'homme et des libertés fondamentales du 4 novembre 1950 ; RO 1974 2151 ; CEDH]). Cela étant, le droit à un interprète s'apprécie en fonction des besoins effectifs de l'intéressé et des circonstances concrètes du cas d'espèce ; il doit être exercé en temps utile (TF 5A_797/2014 du 27 avril 2015 consid. 2.2 et référence citée). En l’espèce, bien que dûment citée à comparaître, la recourante ne s'est pas présentée à l'audience du 29 août 2016 devant la juge de paix. Dans son recours, elle semble expliquer son défaut par le fait qu'elle ne comprendrait pas correctement le français, n'aurait pu, contrairement à ses demandes, bénéficier des services d'un interprète et qu'elle aurait ignoré pouvoir être assistée d'un avocat alors qu'en vertu de la loi suisse, elle devrait pouvoir être représentée ce qui lui aurait permis de comprendre ce que la justice de paix avait voulu d'elle il y a six mois. La recourante a été dûment assignée à comparaître à l'audience du 29 août 2016. C'est par conséquent à tard qu'elle invoque à présent les éléments précités. Elle est d'autant moins fondée à se prévaloir de ces éléments que, lors d'une précédente procédure devant la chambre de céans, elle avait formulé ses moyens de recours en allemand et qu'elle s'adresse à présent en français à la même autorité, les termes qu'elle emploie permettant de comprendre qu'elle s'oppose à la curatelle prononcée, l'intéressée déclarant pouvoir gérer seule ses affaires et projeter de se marier, un tel mariage étant effectivement évoqué au dossier. Par conséquent, même si la décision faisant l'objet du présent recours note l'existence de difficultés de communication orale avec l'intéressée, parce que cette dernière maîtrise mal le français, ces difficultés n'ont toutefois pas été telles qu'elles auraient constitué un obstacle au prononcé de la mesure provisionnelle critiquée, cette dernière n'ayant nécessité qu'un examen sommaire des faits et de la situation juridique de la personne concernée. De ce qui précède, il convient donc d'inférer que la recourante a été en mesure de se faire comprendre valablement de l'autorité de protection et qu'elle aurait pu par conséquent demander, de manière suffisamment intelligible, la désignation d'un interprète, voire d'un avocat, pour l'audience du 29 août 2015, ce qui lui aurait été d'autant plus facile qu'elle avait déjà bénéficié des services d'un interprète à l'audience du 17 août 2015, selon le procès-verbal de l'audience correspondant et figurant au dossier. Par ailleurs, la décision du 14 septembre 2015, qui a été adressée pour notification à la recourante le 23 septembre 2015, et à laquelle celle-ci semble se référer, a acquis force de chose jugée et ne saurait donc être revue par la chambre de céans. Par conséquent formellement correcte, la décision du 29 août 2016 peut être examinée sur le fond. 3.</w:t>
      </w:r>
    </w:p>
    <w:p>
      <w:r>
        <w:rPr>
          <w:b/>
        </w:rPr>
        <w:t>E. 3</w:t>
      </w:r>
    </w:p>
    <w:p>
      <w:r>
        <w:t>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w:t>
      </w:r>
    </w:p>
    <w:p>
      <w:r>
        <w:rPr>
          <w:b/>
        </w:rPr>
        <w:t>E. 3.1.1</w:t>
      </w:r>
    </w:p>
    <w:p>
      <w:r>
        <w:t>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Pour justifier le prononcé d'une curatelle, une cause de curatelle (état objectif de faiblesse) et une condition de curatelle (besoin de protection), doivent ainsi être réunies (Meier, Droit de la protection de l'adulte, 2016, n. 397, p. 204), le besoin de protection devant avoir provoqué l’incapacité totale ou partielle de la personne concernée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 op. cit., n. 405, p. 207; Guide pratique COPMA, n. 5.10, p. 138). Parmi les curatelles existantes, la curatelle de portée générale, prévue par l'art. 398 CC, est instituée lorsqu'une personne a particulièrement besoin d'aide, en raison notamment d'une incapacité durable de discernement (al. 1). Ce type de curatelle couvre tous les domaines de l'assistance personnelle, de la gestion du patrimoine et des rapports juridiques avec les tiers (al. 2) (Meier, op. cit., n. 512, p. 255). La personne concernée est privée de plein droit de l'exercice des droits civils (al. 3). Conformément au principe de subsidiarité (art. 389 CC), la curatelle de portée générale n'est prononcée qu'en dernier recours (Meier, op. cit., nn. 508 s., pp. 254 s. ; Henkel, Basler Kommentar ,</w:t>
      </w:r>
    </w:p>
    <w:p>
      <w:r>
        <w:rPr>
          <w:b/>
        </w:rPr>
        <w:t>E. 3.1.2</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CCUR 18 août 2016/177, CCUR 13 février 2014/30 et les références citées ; Guide pratique COPMA, nn. 1.184 et 1.186, p. 74 s.).</w:t>
      </w:r>
    </w:p>
    <w:p>
      <w:r>
        <w:rPr>
          <w:b/>
        </w:rPr>
        <w:t>E. 3.2</w:t>
      </w:r>
    </w:p>
    <w:p>
      <w:r>
        <w:t>En l'espèce, selon les éléments rapportés, la recourante n'est vraisemblablement pas en mesure de prendre des décisions conformes à ses intérêts. Elle souffre en particulier de peurs et d'un manque de confiance en elle qui l'empêchent d'entreprendre certaines démarches, d'évaluer correctement certaines situations ainsi que les implications d'actes qu'elle souscrit. Elle conclut de nombreux contrats et signe des reconnaissances de dette contraires à ses intérêts ; elle se révèle dans l'incapacité d'assurer régulièrement ses paiements, y compris celui de son logement, à tel point que sa curatrice professionnelle a conclu à ce qu'une limitation de ses droits civils soit prononcée. Elle se trouve ainsi dans une situation de plus en plus délicate, en particulier sur le plan financier, qui, si aucune mesure n'est prise rapidement, risque de la fragiliser et de la plonger dans le dénuement. Dès lors, la décision de la justice de paix de prendre provisoirement en sa faveur des mesures, afin de préserver ses intérêts, apparaît fondée, tout au moins jusqu'à ce que les résultats de l'expertise psychiatrique en cours soient connus. La mesure de curatelle de portée générale instituée provisoirement constitue, pour l'heure, la seule mesure adaptée à la situation de la recourante, la nature et l'importance des besoins de celle-ci exigeant qu'elle bénéficie d'une aide globale pour faire les bons choix et mieux comprendre les conséquences de ses actes, ce d'autant plus qu'elle est la mère de deux enfants mineurs. 4. En conclusion, le recours doit être rejeté et l'ordonnance confirmée. Le présent arrêt peut être rendu sans frais judiciaires (art. 74a al. 4 TFJC [Tarif du 28 septembre 2010 des frais judiciaires civils, RSV 270.11.5]). Par ces motifs, la Chambre des curatelles du Tribunal cantonal, statuant à huis clos, prononce : I. Le recours est rejeté. II. La décision est confirmée. III. L'arrêt est rendu sans frais judiciaires. IV. L'arrêt motivé est exécutoire. La présidente :              La greffière : Du 3 octobre 2016 Le dispositif de l'arrêt qui précède est communiqué par écrit aux intéressés. La greffière : Du L'arrêt qui précède, dont la rédaction a été approuvée à huis clos, est notifié à : ‑ A.T.________, ‑ B.________, Office des curatelles et tutelles professionnelles, et communiqué à : ‑ Juge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e éd., Bâle 2014, n. 10 ad art. 398 CC, p. 2225) lorsque des mesures plus ciblées sont insuffisantes (Guide pratique COPMA, n. 5.51, p. 155). Pour apprécier le besoin particulier d'aide qu'exige la loi pour qu'une curatelle de portée générale soit instituée,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notamment, une fausse perception de ses intérêts, doit être protégé contre lui-même ou contre l'exploitation de tiers, sans que l'on dispose d'éléments qui permettent de se contenter de limitations ponctuelles (Guide pratique COPMA, n. 5.52, p. 155 ; Henkel, op. cit., n. 12 ad art. 398 CC, p. 2225 s. ; sur le tout : JdT 2013 III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