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828 vom 22. Dezember 2016</w:t>
      </w:r>
    </w:p>
    <w:p>
      <w:r>
        <w:t>VD Tribunal cantonal, 2016-12-22, FR</w:t>
      </w:r>
    </w:p>
    <w:p>
      <w:r>
        <w:rPr>
          <w:b/>
        </w:rPr>
        <w:t xml:space="preserve">Quelle: </w:t>
      </w:r>
      <w:r>
        <w:t>https://mcp.opencaselaw.ch/entscheid/vd_findinfo_Arr_t___2016___828</w:t>
      </w:r>
    </w:p>
    <w:p>
      <w:r>
        <w:t>FR: VD_FINDINFO Arrêt / 2016 / 828 du 22 décembre 2016</w:t>
      </w:r>
    </w:p>
    <w:p>
      <w:r>
        <w:t>IT: VD_FINDINFO Arrêt / 2016 / 828 del 22 dicembre 2016</w:t>
      </w:r>
    </w:p>
    <w:p>
      <w:pPr>
        <w:pStyle w:val="Heading2"/>
      </w:pPr>
      <w:r>
        <w:t>Regeste</w:t>
      </w:r>
    </w:p>
    <w:p>
      <w:r>
        <w:t>RENTE D'INVALIDITÉ, RÉVISION{PRESTATION D'ASSURANCE}, SUPPRESSION DE LA PRESTATION D'ASSURANCE, EXPERTISE ORDONNÉE PAR L'ADMINISTRATION, ATTEINTE À LA SANTÉ PSYCHIQUE, ATTEINTE À LA SANTÉ PHYSIQUE | 28 LAI, 4 LAI, 17 LPGA, 44 LPGA, 6 LPGA, 7 LPGA, 8 al. 1 LPGA</w:t>
      </w:r>
    </w:p>
    <w:p>
      <w:pPr>
        <w:pStyle w:val="Heading2"/>
      </w:pPr>
      <w:r>
        <w:t>Erwägungen</w:t>
      </w:r>
    </w:p>
    <w:p>
      <w:r>
        <w:rPr>
          <w:b/>
        </w:rPr>
        <w:t>E. 9</w:t>
      </w:r>
    </w:p>
    <w:p>
      <w:r>
        <w:t>mai 2011). Concernant les recommandations de réinsertion, après relecture de l’entier du dossier, un poste optimal consistant en une activité manuelle, subalterne, plus ou moins répétitive, autorisant une pose de 1 heure pour le repas de midi serait optimal. Une activité de police ne me para[î]t pas souhaitable du fait des antécédents psychiatriques et du faible niveau de scolarisation de l’assuré. » Dans le cadre d’un entretien avec un conseiller en réinsertion professionnelle de l’OAI du 20 avril 2015, l’assuré a insisté sur le fait que lors de son dernier stage chez A.________, il avait perdu du poids et que le stage s’était arrêté. Il a ajouté que lorsqu’il mangeait, il ne pouvait ensuite plus travailler. L’OAI a proposé à l’assuré un nouveau stage de réentraînement au travail auprès d’A.________, en service/logistique, où il effectuerait des travaux de magasinier et de l’entretien de bâtiment (nettoyages). Concernant les nettoyages, l’assuré a mentionné des difficultés avec la main droite (manque de force et blocages), ainsi que des problèmes avec les pieds. Par communication à l’assuré du 19 mai 2015, l’OAI lui a octroyé un stage du 18 mai 2015 au 20 décembre 2015, le premier mois au taux de 50 %, avec augmentation progressive jusqu’à un taux de 100 % pour les deux derniers mois. Il ressort d’un rapport intermédiaire d’A.________ du 17 juin 2015, que l’assuré se montrait présent et ponctuel. Il collaborait volontiers et exécutait les travaux demandés au mieux de ses possibilités. Il avait les connaissances de base nécessaires pour réaliser les activités subalternes confiées (contrôle de livraisons, gestion des tenues de travail, exercices de préparation de commandes, de petits montages mécaniques et d’inventaire/comptage de produits, recherches sur Internet, participation aux nettoyages des locaux). Le rendement économique de l’assuré ne lui permettait pas d’envisager un retour dans l’économie. Son alimentation était délicate et nécessitait des aménagements. Il ne mangeait pas sur le lieu de travail et de ce fait manquait de force, déjà à partir de 9 h 30. Il disait avoir perdu 3 kg depuis le début de la mesure. Il était également limité physiquement pour le port de charges. Il souffrait de vertiges, par exemple quand il se levait trop brusquement de sa chaise. Il disait avoir fait une chute dans le métro en regagnant son domicile. Cela lui arrivait parfois à la maison. En lien avec ses carences, il souffrait également des dents. Il allait prochainement consulter un ophtalmologue, sa vue ayant baissé. Il était d’accord d’augmenter son temps de travail de 30 min (soit un taux d’activité de 56 %). La Dresse M.________, spécialiste en psychiatrie et psychothérapie, psychiatre traitante de l’assuré, a rendu un rapport médical le 29 juin 2015, relevant notamment que son patient se plaignait d’une fatigue qui commençait à s’accumuler dès la première heure de travail, d’une anhédonie, d’une asthénie, d’une irritabilité, et d’un sentiment de honte et d’insuffisance liée au fait que les gens essayaient de faire à sa place toutes les tâches pénibles pour lui. Le rendement de l’assuré ne dépassait pas 10 %. Durant la dernière consultation, du 26 juin 2015, il avait le visage fermé, était amaigri, pesait 59 kg pour une taille de 1 m 79, pleurait, exprimait des idées de mort passives, disant que c’était sa religion et ses enfants qui l’empêchaient de passer à l’acte. Il se sentait persécuté par son conseiller à l’OAI, ce qui augmentait ses douleurs. Selon la Dresse M.________, l’assuré n’était pas apte à poursuivre la mesure, jugée absurde, stressante, et même néfaste. La poursuite de cette mesure mettait en péril sa santé physique et psychique. La Dresse M.________ a confirmé, à l’occasion d’un entretien téléphonique avec l’OAI du 6 juillet 2015, que l’assuré ne pouvait pas rependre une activité professionnelle. Dans un rapport médical du 2 juillet 2015, le Dr O.________ a observé que l’évolution depuis 2015 était défavorable. Les plaintes de l’assuré étaient multiples, avec en premier lieu une fatigue chronique malgré de multiples injections de vitamine B12, associée à d’importants troubles du sommeil occasionnés par des lombosciatalgies qui l’empêchaient de porter des charges lourdes. La marche se révélait parfois pénible. L’assuré se plaignait également de douleurs abdominales avec nausées et vomissements malgré l’application des principales règles diététiques après gastrectomie. La capacité de travail était selon le Dr O.________ nulle dans toute activité. Il ressort d’un certificat médical du 2 juillet 2015 du Dr W.________, que l’assurait souffrait d’une baisse de l’acuité visuelle avec une cataracte en formation. Il n’y avait pas d’indication chirurgicale pour l’instant. Par avis médical du 7 juillet 2015, le Dr G.________ retenait pour l’essentiel que la baisse de rendement évoquée par A.________ dans son rapport du 17 juin 2015 ne s’expliquait pas par des empêchements secondaires à une atteinte à la santé au sens de l’assurance-invalidité. Le rapport médical du 29 juin 2015 ne rendait pas non plus plausible une aggravation notable de l’état de santé de l’assuré depuis les expertises. Dans son rapport du 2 juillet 2015, le Dr O.________ reprenait des plaintes et problèmes somatiques connus de longue date. Il convenait en revanche d’interroger le Dr W.________ et d’investiguer la question d’un empêchement à la conduite en lien avec le problème de vue. Dans une communication interne du 15 juillet 2015, l’OAI observait ce qui suit : « […] Après 2 mois chez A.________, les objectifs de la mesure ne sont pas atteints et une évolution positive ne semble pas pouvoir être attendue (voir note du 12.06.2015 et du 14.07.2015). Nous avons discuté de cette situation avec le SMR et il y a un nouvel avis du 07.07.2015 (qui n’étonne pas l’avocate) et il demande de questionner l’Hôpital ophtalmique, ce qui a été fait. Mme Bourqui, avocate de l’assuré, dit qu’elle doit tenir compte des renseignements médicaux en sa possession et en ged (Dr. M.________ du 29.06.2015, Dr. O.________ du 07.07.2015, corr médecin du 07.07.2015, rap méd du 10.07.2015). Que par rapport au contenu des documents, il n’est pas envisageable de poursuivre la mesure qui, même si elle était prolongée d’un mois, n’amènerait aucun élément nouveau. Mme Bourqui a déjà annoncé qu’elle ferait recours à notre décision. L’intervention de la REA [service de réadaptation] ne se justifie plus, je ferme mon mandat[e] […] ». Dans un rapport médical du 19 novembre 2015, le Dresse [...], cheffe de clinique à l’Hôpital ophtalmique, a mentionné à titre de diagnostic avec effet sur la capacité de travail une cataracte débutante. L’activité exercée était exigible à 100 %. Dans un avis médical du 2 décembre 2015, le Dr G.________ a retenu que la cataracte débutante était sans effet sur la capacité de travail exigible dans une activité adaptée. Il a précisé par ailleurs que les vertiges orthostatiques au changement de position avaient été pris en compte dans l’expertise du Dr H.________. Le 17 mars 2016, l’OAI a adressé à l’assuré une décision de suppression de la rente d’invalidité, ainsi que la motivation de la décision dans un courrier séparé. Se fondant sur l’Enquête suisse sur la structure des salaires pour déterminer les revenus avec et sans invalidité, le salaire de référence étant celui auquel peuvent prétendre les hommes effectuant des tâches physiques ou manuelles simples dans le secteur privé, et retenant un abattement de 10 % compte tenu des limitations fonctionnelles, l’OAI a déterminé un degré d’invalidité de 10 %. B. N.________ a recouru contre la décision précitée, par l’intermédiaire de son mandataire, le 25 avril 2016, auprès de la Cour des assurances sociales du Tribunal cantonal, concluant préalablement à la comparution personnelle des parties, principalement à l’annulation de la décision litigieuse et à l’octroi d’une rente entière à compter du 1 er octobre 2009, subsidiairement à l’ordonnance d’une expertise judiciaire. Le recourant critique pour l’essentiel la valeur probante de l’expertise du Dr R.________ et reproche à l’intimé d’avoir écarté les rapports des Drs O.________ et M.________, ainsi que ceux d’A.________. Par réponse du 24 mai 2016, l’intimé propose le rejet du recours, se fondant en substance sur les expertises des Drs H.________ et R.________, ainsi que sur les divers rapports du SMR. Il a par ailleurs précisé que les auditions demandées par le recourant ne lui paraissaient pas nécessaires. Par réplique du 28 juin 2016, le recourant maintient ses conclusions, de même que sa requête d’audition des parties, ainsi que celle des personnes l’ayant suivi au sein d’A.________. L’intimé confirme sa position par duplique du 28 juillet 2016. E n  d r o i t  : 1. a) Les dispositions de la LPGA (loi fédérale du 6 octobre 2000 sur la partie générale du droit des assurances sociales ; RS 830.1) s’appliquent à la LAI (loi fédérale du 19 juin 1959 sur l’assurance-invalidité ; RS 831.20) (art. 1 LAI). Les décisions sur opposition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compte tenu des féries de Pâques (art. 38 al. 4 let. LPGA)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125 V 413 consid. 2c). b) En l’occurrence, le litige porte sur le droit du recourant à une rente d’invalidité, en particulier sur la suppression, par voie de révision, de la demi-rente d’invalidité, singulièrement sur le point de savoir si le dossier médical permettait à l’intimé d’admettre que les conditions d’une révision au sens de l’art. 17 LPGA étaient remplies en l’espèce. Cela étant, la question se pose de savoir si, ainsi que le recourant l’allègue dans le cadre de la procédure de révision d'office initiée par l'intimé en juillet 2009, son état de santé s’est péjoré depuis 2009, justifiant une augmentation du droit à la rente et non une suppression de la demi-rente d’invalidité.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b) 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 113 V 275 consid. 1a ; voir également TF I 367/04 du 14 février 2005 consid. 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ATF 125 V 368 consid. 2 et ATF 112 V 372 consid. 2b ; cf. TF 9C_431/2009 du 3 novembre 2009 consid. 2.1). Il n'y a pas matière à révision lorsque les circonstances sont demeurées inchangées et que le motif de l'augmentation ou de la diminution de la rente réside uniquement dans une nouvelle appréciation du cas (cf. ATF 112 V 372 consid. 2b ; TF 9C_104/2014 du 30 mai 2014 consid. 3.1 ;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 cf. Michel Valterio , Droit de l'assurance-vieillesse et survivants [AVS] et de l'assurance-invalidité [AI], Genève/Zurich/Bâle 2011, n° 3065 p. 833).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ATF 115 V 133 consid. 2 ; TF 8C_406/2012 du 6 juin 2013 consid. 2 et les références).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la référence).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les références). Cela vaut également lorsqu'un ou plusieurs médecins ont émis une opinion divergeant de celle de l'expert (TF 9C_268/2011 précité, loc. cit ., et les références). d)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e)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également TF I 906/05 du 23 janvier 2007 consid. 5.1). 4. a) En l'espèce, il ressort du dossier que l’octroi de la rente entière d’invalidité avec effet au 1 er janvier 1997 l’a été en raison d’une atteinte psychique. En effet, il est indiqué sur la décision du 21 août 1997 le numéro d’infirmité 644 et le numéro de d’atteinte fonctionnelle 91, qui correspondent à des atteintes psychotiques (« autres psychoses ») ou dépressions involutives, et à des atteintes fonctionnelles combinées d’ordre mental, psychique et physique. Cette décision repose sur le rapport médical des Drs F.________ et Z.________, lesquels ont retenu à l’époque, sur le plan psychiatrique, les diagnostics d’épisode dépressif sévère avec symptômes psychotiques et de troubles schizotypiques. Par la suite, le recourant a repris une activité lucrative à un taux oscillant entre 40 % et 50 %, en qualité de chauffeur-livreur auprès de l’entreprise K.________, ce qui a motivé une révision d’office du droit à la rente, respectivement une réduction de la rente entière d’invalidité à une demi-rente avec effet au 1 er octobre 2003 (cf. décision du 8 septembre 2003). C’est sur la base de cette dernière décision qu’il y a lieu de procéder à la comparaison des situations déterminantes pour la révision du droit à la rente du recourant initiée le 20 juillet 2009, la rente ayant depuis 2003 été reconduite sans nouvelle décision jusqu’à la décision attaquée. Il sied de constater préliminairement que les considérations de l’intimé pour justifier la diminution de la rente d’invalidité, respectivement l’octroi d’une demi-rente d’invalidité sont pour le moins succinctes. La décision du 8 septembre 2003 se fondait en effet sur un rapport médical du 14 juillet 2003 du Dr O.________, lequel ne mentionnait alors plus de diagnostic psychiatrique. La demi-rente d’invalidité a été par la suite reconduite suite à l’avis médical du Dr C.________ du 9 octobre 2003, lequel concluait que « les antécédents psychiatriques [n’étaient] pas négligeables et qu’une surstimulation pou[v]ait provoquer une décompensation ». Le Dr C.________ avait toutefois précisé avoir téléphoné au médecin traitant qui lui avait indiqué que la situation actuelle était stable et que l’assuré arrivait à travailler à 50 %, avec quelques absences pour somatisations, ajoutant « qu’il estim[ait] également qu’une surstimulation pou[v]ait compromettre l’évolution ». Ce n’est que 11 ans plus tard, soit en 2014, et à la demande du conseil du recourant que l’intimé a mis en œuvre une expertise psychiatrique, laquelle était nécessaire pour connaître l’évolution de la pathologie psychiatrique depuis le 25 mars 1997 ‒ date correspondant au seul rapport établi par un médecin psychiatre et contenu dans le dossier ‒ respectivement pour déterminer la présence d’une amélioration ou d’une aggravation de l’état de santé psychique du recourant. b) La décision querellée est, pour sa part, fondée sur le rapport d’expertise psychiatrique du Dr R.________ du 22 octobre 2014. Cet expert ne retrouve pas les diagnostics que les Drs F.________ et Z.________ avaient posés en 1997. Le rapport du Dr R.________ remplit les critères jurisprudentiels pour se voir reconnaître pleine valeur probante (cf. supra consid. 3c). En effet, l’expert a étudié de manière circonstanciée les points litigieux, en connaissance de toutes les pièces médicales au dossier. Ses examens sont complets. Il a pris en compte l’anamnèse et les plaintes du recourant et, contrairement à ce que soutient ce dernier, il explique de manière approfondie pour quelles raisons il écarte les diagnostics pouvant entrer en considération, et en particulier pour quels motifs son appréciation diverge de celle des Drs F.________ et Z.________, plus précisément en ce qui concerne un éventuel trouble schizotypique. L’expert ne nie pas qu’une atteinte d’ordre psychiatrique a existé à un moment donné. En tenant compte du ralentissement psychomoteur modéré et des troubles de la concentration existants par le passé, il a retenu une capacité de travail fluctuante entre 2011 et 2014. Il explique de manière claire et circonstanciée pourquoi il ne retient plus les atteintes ayant existé. On observe que le fait que le Dr R.________ estime qu’une réévaluation de l’état psychiatrique du recourant à une année, de même qu’un suivi sur ce plan, sont nécessaires, ne permet pas de remettre en question son analyse, contrairement à ce qu’avance le recourant. En effet, la nécessité d’un suivi psychiatrique n’implique pas nécessairement une incapacité de travail, si ce suivi permet justement au recourant de conserver une telle capacité. De même, s’il devait être établi par la suite une évaluation défavorable de l’état de santé de l’intéressé sur ce plan, il n’en reste pas moins que sa capacité de travail a été considérée comme entière depuis le 1 er septembre 2014, sur la base d’éléments cliniques et de l’anamnèse complète. Une éventuelle aggravation ou rechute devra alors faire l’objet d’une nouvelle demande. Les rapports médicaux du Dr R.________ ne viennent pas remettre en cause l’analyse du Dr R.________. En effet, le médecin traitant a retenu en 1994 un état anxio-dépressif, ceci jusqu’en 2002. Il n’a toutefois jamais expliqué son diagnostic par des constatations médicales objectives, ni adressé son patient à des spécialistes. Dans son rapport du 14 juillet 2003, il ne retenait plus de diagnostic sur le plan psychiatrique. Il a mentionné un état anxieux dans son rapport du 9 novembre 2009, sans en préciser la gravité, ni si ce dernier avait ou non une influence sur la capacité de travail du recourant. Dans son rapport de 23 mai 2011, il s’est limité à mentionner une certaine tristesse et de l’angoisse chez son patient, sans plus de précisions. Le Dr O.________ a cité à nouveau le diagnostic d’état anxio-dépressif dans son rapport du 18 mai 2013, sans expliquer ce qui l’amenait à retenir à nouveau cette atteinte, ni adresser son patient à un spécialiste. Il est en outre relevé que l’expert R.________ a dûment tenu compte des rapports médicaux du Dr O.________. Le rapport médical établi par ce dernier par la suite, le 2 juillet 2015, relève certes une évaluation défavorable de l’état de santé du recourant, mais rapporte toutefois des problèmes d’ordre somatique. Ainsi, les constatations de ce médecin ne permettent pas de remettre en cause l’appréciation du Dr R.________. On apprend à l’occasion de l’expertise, que le recourant a recommencé un suivi psychiatrique auprès de la Dresse M.________. Il est relevé que ce suivi a été pris en compte par l’expert, dès lors qu’il a eu un entretien téléphonique avec la Dresse M.________. Ce n’est toutefois que le 29 juin 2015 que la psychiatre traitante a rendu un rapport médical. Elle y a décrit les plaintes du recourant, ainsi qu’une série de symptômes. Elle ne pose toutefois aucun diagnostic, ne dit pas avoir procédé à des tests, et n’explique pas ce qui l’amène à retenir une incapacité totale de travail. Son appréciation, insuffisamment étayée, ne permet pas de mettre en doute l’expertise du Dr R.________. D’éventuels symptômes d’un trouble sur le plan psychiatrique n’ont pas non plus été observés par les autres médecins ayant examiné le recourant, ni par le personnel d’A.________, qui se contente de mentionner une certaine amertume du recourant en rapport avec son avenir professionnel, mais pas de tristesse, d’angoisse ou de retrait social. c) Dans ces conditions, force est d'admettre que, sur le plan psychiatrique, les conclusions de l’expert R.________ sont convaincantes, qu'aucun motif pertinent ne permet de les remettre en cause et qu'elles répondent ainsi aux exigences requises pour se voir reconnaître valeur probante (cf. consid. 3c supra ; cf. également ATF 125 V 351 consid. 3b/ee). Sur cette base, on retiendra donc que le recourant ne présente plus aucune atteinte du registre psychiatrique susceptible de réduire sa capacité de travail et ce, à compter du 1 er septembre 2014. Dès lors que l’expert R.________ a reconnu une capacité de travail entière dès le 1 er septembre 2014, confirmée par le Dr G.________ du SMR (avis médical du 6 novembre 2014) ‒ à laquelle s’est rallié l’intimé ‒, il n’y a pas lieu d’examiner plus avant la motivation des variations du degré de capacité de travail entre 2011 et 2014 retenue par l’expert. 5. Autre est la question de savoir si le recourant présente une pathologie somatique incapacitante du point de vue de l’assurance-invalidité. a) En 1997, les Drs F.________ et Z.________ mentionnaient un certain nombre de diagnostics somatiques, soit un status après gastrectomie des deux tiers pour adénocarcinome gastrique en 1992, un status après libération de bribe volvulus du grêle en 1994 et un status après accident du membre supérieur droit avec lésions neurologiques séquellaires en 1994, atteintes qu’ils n’ont pas examinées eux-mêmes, puisque hors de leur domaine de compétences. Le Dr O.________ retenait en outre les diagnostics d’anémie normocitaire normochrome et de symdrome de Barett probable. Ces atteintes n’ont toutefois pas fait l’objet de plus amples investigations et n’ont pas motivé l’octroi de la rente. Les atteintes somatiques du recourant n’ont pas été analysées lors de la procédure de révision qui a abouti à la réduction de la rente entière à une demi-rente d’invalidité. La décision du 8 septembre 2003 se fonde uniquement sur les rapports du Dr O.________ des 30 janvier 2002 et 14 janvier 2003, qui mentionnaient les diagnostics somatiques comme sans influence sur la capacité de travail, tout en maintenant une incapacité de travail de 50 %. Il en va de même de la procédure de révision initiée en novembre 2004, durant laquelle la question des atteintes somatiques ne s’est apparemment pas posée. En 2004, le Dr O.________ mentionnait les diagnostics somatiques incapacitants de lombalgies et de céphalées tensionnelles. Les diagnostics d’hypotension orthostatique, de status après opération pour un volvulus du grêle, de status après gastrectomie subtotale pour adénocarcinome superficiel à l’estomac et d’opération de la main droite, étaient mentionnés dans la catégorie des diagnostics sans répercussion sur la capacité de travail. Le Dr O.________ relevait toutefois des brûlures abdominales, accompagnées de nausées, sans vomissement. La capacité de travail était toujours de 50 %. Le SMR retenait que les affections somatiques ne constituaient pas une affection invalidante au sens de l’assurance-invalidité, mais témoignaient d’une situation limite sur le plan psychiatrique. Ainsi, avant la procédure de révision initiée d’office en juillet 2009, le dossier ne contient aucun rapport médical émanant d’un médecin autre que le Dr O.________ et qui aurait examiné le recourant sur le plan somatique. Dans son rapport du 9 novembre 2009 à l’OAI, le Dr O.________ retenait les diagnostics de céphalées tensionnelles, lombosacralgies, anémie avec ferritine effondrée ainsi qu’une hypovitaminose B12, une gonalgie droite, ainsi que les diagnostics somatiques précédemment retenus. Il mentionnait une série de symptômes, tels que pâleur, dyspnée, palpitations, tachycardie, anorexie, vomissements et diarrhée. S’y ajoutaient une faiblesse extrême, des vertiges, des céphalées, des bourdonnements d’oreille et une tendance aux syncopes. Le pronostic était réservé. Le recourant avait présenté une incapacité de travail du 1 er avril 2008 au 31 mai 2008. Depuis le 1 er août 2009, il n’arrivait plus à exercer le métier de marchand en raison de vertiges et syncopes. L’activité exercée était exigible au maximum à 30 % depuis janvier 2010. Le recourant ne pouvait pas exercer des activités uniquement en position debout, dans différentes positions, ou exercées principalement en marchant. Il ne pouvait se pencher, travailler avec les bras au-dessus de la tête, s’accroupir, effectuer des rotations en position assise ou debout, soulever/porter, ou encore monter sur une échelle ou un échafaudage. Sa capacité de résistance était limitée. Le Dr O.________ décrivait un état stationnaire dans un rapport ultérieur, soit celui du 23 mai 2011. b) La décision litigieuse date du 17 mars 2016 et se fonde, sur le plan somatique, sur le rapport d’expertise du Dr H.________ du 14 décembre 2011. Si la prise en charge d’une mesure d’entraînement progressif (art. 14a LAI) à un taux de 40 à 50 %, puis d’un reclassement professionnel dans le cadre des mesures de nouvelle réadaptation (art. 17 LAI) au Centre A.________ respectivement en 2012 - 2013 et 2015 ont mis en évidence un état de santé fragile sous forme d’étourdissements, de faiblesse physique et d’une grande fatigue, la Cour de céans considère toutefois que ces éléments ne sauraient constituer une aggravation de l’état de santé de l’intéressé depuis l’expertise mise en œuvre en 2011 dans le cadre de la procédure de révision de rente. Il convient tout d’abord de rappeler que le Dr O.________ expliquait dans son rapport médical du 4 février 2005 que l’hypotension orthostatique (diminution de la pression artérielle lors du passage de la position allongée ou assise, à la position debout) en était la source, pathologie pour laquelle le médicament Effortil était prescrit à l’intéressé. Lors de l’examen clinique réalisé par l’expert H.________, l’assuré a également fait état de malaises postprandiaux caractérisés par la survenue déjà en cours de repas ou tout de suite après d’un sentiment de faiblesse, d’épuisement avec irritabilité, vertiges, céphalées, sudations, nausées et besoin impérieux d’adopter immédiatement une position semi-assise. Le malaise sans choc et sans perte de connaissance disparaissait après 20 à 30 minutes. Le questionnaire de Sigstad donnait un score de 17, ce qui était suggestif d’un dumping syndrome précoce, lequel était apparu dès 1992, soit peu après l’intervention Billrott II. L’expert a toutefois exposé que cette pathologie ne pouvait être considérée comme handicapante même si elle pouvait altérer la qualité de vie. Les seules limitations fonctionnelles qui en résultaient étaient constituées par la nécessité de respecter une pause suffisante lors des repas principaux (minimum de 30 minutes) suivie d’une pause postprandiale de 30 minutes (rapport d’expertise du 14 décembre 2011, p. 12  § 3.4, p. 20 § 6.1, p. 21 § 6.2). Le recourant a été en outre soumis en novembre et décembre 2012 à des OGD (Oeso-Gastro-Duodénoscopie) effectuées au Service de gastro-entérologie et d’hépatologie du CHUV qui ont mis en évidence un reflux gastro-oesophagien en amélioration. Le recourant se plaint également d’un manque de force au niveau de la main droite et de difficultés avec les deux pieds. Cette atteinte a non seulement été examinée par l’expert H.________ qui n’a pas retenu de limitation fonctionnelle au vu de l’absence de difficultés annoncée par l’intéressé dans la vie quotidienne, mais n’a plus été mentionnée par le Dr O.________ (rapport médical du 18 mai 2013 à l’OAI, courrier du 2 juillet 2015 au conseil du recourant). Finalement, il y a lieu de relever que le médecin traitant s’est limité à rappeler dans son rapport du 2 juillet 2015, les plaintes de son patient et les problèmes somatiques connus de longue date. Dans ce contexte, il sied de retenir que le rapport d’expertise du Dr H.________ a pleine valeur probante et qu’il demeure actuel, même s’il a été établi plusieurs années auparavant. Par conséquent, la position du SMR (cf. notamment avis médicaux du Dr G.________ des 17 mars et 7 juillet 2015) et, corollairement, de l’OAI échappe donc à la critique. Contrairement à l’opinion du recourant, il n’appartient pas à A.________ d’évaluer sa capacité de travail, respectivement de se substituer aux appréciations des experts, l’intéressé soutenant que « c’est A.________ qui doit se prononcer sur ce qu’ils ont observé » (note d’entretien de la REA du 12 juin 2015). En effet, les informations des organes d'observation professionnelle ont pour fonction de compléter les données médicales en examinant concrètement dans quelle mesure l'assurée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(TFA I 531/04 du 11 juillet 2005 consid. 4.2). Faute d’atteinte à la santé au sens de la LAI, demeure la question de savoir si l’assuré applique régulièrement les règles diététiques préconisées après gastrectomie. Ainsi, si lors de la première mesure, il est précisé que « sa vision de « régime alimentaire équilibré » ne correspond pas entièrement à ce qu’on pourrait préconiser de manière générale (par exemple, consommation régulière de pains à la vanille durant la pause du matin) » (rapport intermédiaire du 19 avril 2013), il est relevé que durant la deuxième mesure, l’intéressé ne mange pas sur son lieu de travail et manque de force dès  9 h 30 (rapport intermédiaire du 17 juin 2015). Or, l’expert H.________ a rappelé que le dumping syndrome précoce pouvait s’améliorer significativement par des mesures diététiques et par une éducation alimentaire. c) Dès lors, la Cour de céans considère que le recourant dispose d’une entière capacité de travail dans une activité adaptée à ses limitations fonctionnelles somatiques et qu’il ne présente en outre plus aucune atteinte psychiatrique ayant un effet sur sa capacité de travail. Les mesures d’instruction complémentaires requises (audition des parties et des responsables d’A.________) n’est pas de nature à permettre de modifier ce constat. Le recourant a pu préciser ses allégations par écrit et a été soumis de manière précise et probante à deux expertises, raison pour laquelle on ne saurait attendre des auditions requises une même valeur probante ni une même précision. En tout état de cause,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 131 I 153 consid. 3 et 130 II 425 consid. 2 ; cf. TF 9C_748/2013 du 10 février 2014 consid. 4.2.1). 6. Cela étant constaté, encore faut-il déterminer le degré d’invalidité présenté par le recourant compte tenu du fait qu’il présente une capacité de travail entière dans une activité adaptée à ses limitations fonctionnelles.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 Il ressort du dossier que le recourant, sans activité lucrative lors de la révision d’office du droit à la rente, a exercé diverses activités au cours de sa vie, notamment livreur à 50 % auprès de K.________ jusqu’en 2006, puis vendeur indépendant de denrées alimentaires. Dans ces circonstances, la manière de procéder de l’office intimé ne prête pas flanc à la critique. Ainsi, en l’absence de revenu effectivement réalisé, c’est à bon droit que l’OAI s’est référé aux données statistiques et s’est demandé s’il se justifiait d’opérer un abattement afin de tenir compte des circonstances personnelles et professionnelles du cas particulier.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Le fait que le revenu sans invalidité ait    lui-même été fixé sur la base des mêmes données statistiques importe à cet égard peu, car le choix d’opérer ou non un abattement est indépendant de la manière dont le revenu sans invalidité a été fixé. En l’état, le recourant ne conteste pas les termes de la comparaison des revenus effectuée par l’intimé, singulièrement le bien-fondé et l’étendue de l’abattement opéré sur le salaire statistique pris en compte pour fixer le revenu d’invalide. Précisons à cet égard que l’OAI retient un abattement de 10 % sur le salaire statistique eu égard aux limitations fonctionnelles requises par la pathologie somatique, abattement dont le taux n’est au demeurant pas critiquable (cf. ATF 126 V 75 consid. 5b). Ainsi, il résulte de la comparaison des revenus une incapacité de gain arrondi à 10 %, insuffisante pour maintenir le droit à une rente d’invalidité (art. 18 al. 1 LAA). c) Par conséquent, il n’y a pas lieu de s’écarter du résultat retenu par l’intimé dans le cadre de la comparaison des revenus. En définitive, il y a lieu de retenir qu’à la suite de l’amélioration de l’état de santé psychique, le taux d’invalidité du recourant s’élève désormais à 10 %, ce qui justifie la suppression, par voie de révision, de la demi-rente d’invalidité dont ce dernier bénéficiait depuis le 1 er octobre 2003. La décision querellée du 17 mars 2016 doit être confirmée dans son résultat en tant qu’elle supprime le droit à la rente dès le premier jour du deuxième mois à compter de sa notification (cf. art. 88bis al. 2 let. a RAI [règlement du 17 janvier 1961 sur l’assurance-invalidité ; RS 831.201]). 7. La Cour n’entend pas minimiser le parcours du recourant, confronté dès 1992 à des problèmes de santé dont on ne saurait nier la gravité. Cela dit, il n’en demeure pas moins que le droit aux prestations de l’AI est régi par des exigences légales strictes (exposées plus haut), dont il n’est pas possible de déroger pour des raisons d’opportunité liées à des circonstances personnelles particulières. Or, il appert en définitive que la décision litigieuse s’avère conforme à ces mêmes exigences. Dite décision n’est donc pas critiquable dans son résultat. Cela étant, il convient encore de souligner que la décision susdite ne constitue pas une prise de position immuable de l’AI à l’égard du recourant. Ce dernier conserve en effet la faculté, en cas de modification notable de la situation, de déposer une nouvelle demande de prestations auprès de l’office. 8. a) En conclusion, le recours, mal fondé, doit être rejeté et la décision entreprise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En l'espèce, compte tenu de l'ampleur de la procédure, les frais de justice doivent être fixés à 400 fr. et devraient être mis à la charge du recourant, qui succombe (cf. art. 69 al. 1bis LAI ;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en outre, au titre de l'assistance judiciaire, de la commission d'office d'un avocat en la personne de Me Florence Bourqui (cf. art. 118 al. 1 let. c CPC, applicable par renvoi de l'art. 18 al. 5 LPA-VD). Invitée à produire sa liste des opérations (cf. art. 3 al. 1 RAJ), cette dernière s’en est remise à la juridiction de céans pour la fixation de son indemnité dans la présente affaire (cf. courrier 25 novembre 2016). Dès lors, vu l’étendue des opérations nécessaires à la conduite du procès (cf. art. 2 al. 1 et art. 3 al. 2 RAJ), il y a lieu d’arrêter équitablement le défraiement à 1'944 fr., TVA comprise (soit 1'800 fr. de prestations d’avocat [10 h x 180 fr.] + 144 fr. de TVA), auquel il convient d’ajouter 108 fr. pour les débours, TVA incluse (cf. art. 3 al. 3 RAJ). L’indemnité d’office de Me Bourqui s’élève donc à 2'052 francs. Cette rémunération est provisoirement supportée par le canton, le recourant étant rendu attentif au fait qu'il est tenu d'en rembourser le montant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