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754 vom 6. Oktober 2016</w:t>
      </w:r>
    </w:p>
    <w:p>
      <w:r>
        <w:t>VD Tribunal cantonal, 2016-10-06, FR</w:t>
      </w:r>
    </w:p>
    <w:p>
      <w:r>
        <w:rPr>
          <w:b/>
        </w:rPr>
        <w:t xml:space="preserve">Quelle: </w:t>
      </w:r>
      <w:r>
        <w:t>https://mcp.opencaselaw.ch/entscheid/vd_findinfo_Arr_t___2016___754</w:t>
      </w:r>
    </w:p>
    <w:p>
      <w:r>
        <w:t>FR: VD_FINDINFO Arrêt / 2016 / 754 du 6 octobre 2016</w:t>
      </w:r>
    </w:p>
    <w:p>
      <w:r>
        <w:t>IT: VD_FINDINFO Arrêt / 2016 / 754 del 6 ottobre 2016</w:t>
      </w:r>
    </w:p>
    <w:p>
      <w:pPr>
        <w:pStyle w:val="Heading2"/>
      </w:pPr>
      <w:r>
        <w:t>Regeste</w:t>
      </w:r>
    </w:p>
    <w:p>
      <w:r>
        <w:t>AI{ASSURANCE}, NOUVELLE DEMANDE | 87 RAI</w:t>
      </w:r>
    </w:p>
    <w:p>
      <w:pPr>
        <w:pStyle w:val="Heading2"/>
      </w:pPr>
      <w:r>
        <w:t>Erwägungen</w:t>
      </w:r>
    </w:p>
    <w:p>
      <w:r>
        <w:rPr>
          <w:b/>
        </w:rPr>
        <w:t>E. 8</w:t>
      </w:r>
    </w:p>
    <w:p>
      <w:r>
        <w:t>a) En conclusion, le recours, mal fondé, doit être rejeté, et la décision attaquée confirmée. Pour le surplus, la cause est retournée à l’OAI afin que cet office se détermine sur l’impact des troubles neuropsychologiques constatés par la Prof. C.________ du point de vue de la capacité de travail du recourant pour la période postérieure au 8 décembre 2011 (cf. consid. 6d supra).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 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Quant à l’indemnité au défenseur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c’est Me Rachel Debluë qui a été désignée en remplacement de Me Roberto Izzo – lequel a été indemnisé par décision du 1 er avril 2016 de la juge instructeur –, et non Me Laurent Maire dont le nom figure sur la liste des opérations produite. Cela étant, cette liste des opérations a été contrôlée au regard de la procédure et rentre globalement dans le cadre du bon accomplissement du mandat. L’indemnité du conseil d’office doit ainsi être arrêtée à deux heures et cinq minutes au tarif horaire de 180 fr. (cf. art. 2 al. 1 let. a RAJ), à quoi s'ajoutent les débours par 4 fr. et la TVA au taux de 8%, ce qui représente un montant total de 409 fr. 32 pour l'ensemble de l'activité déployée dans la présente cause, montant qu’il y a lieu d’arrondir à 409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