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674 vom 24. Juni 2016</w:t>
      </w:r>
    </w:p>
    <w:p>
      <w:r>
        <w:t>VD Tribunal cantonal, 2016-06-24, FR</w:t>
      </w:r>
    </w:p>
    <w:p>
      <w:r>
        <w:rPr>
          <w:b/>
        </w:rPr>
        <w:t xml:space="preserve">Quelle: </w:t>
      </w:r>
      <w:r>
        <w:t>https://mcp.opencaselaw.ch/entscheid/vd_findinfo_Arr_t___2016___674</w:t>
      </w:r>
    </w:p>
    <w:p>
      <w:r>
        <w:t>FR: VD_FINDINFO Arrêt / 2016 / 674 du 24 juin 2016</w:t>
      </w:r>
    </w:p>
    <w:p>
      <w:r>
        <w:t>IT: VD_FINDINFO Arrêt / 2016 / 674 del 24 giugno 2016</w:t>
      </w:r>
    </w:p>
    <w:p>
      <w:pPr>
        <w:pStyle w:val="Heading2"/>
      </w:pPr>
      <w:r>
        <w:t>Regeste</w:t>
      </w:r>
    </w:p>
    <w:p>
      <w:r>
        <w:t>ASSISTANCE JUDICIAIRE, DÉLAI DE RECOURS | 450f CC</w:t>
      </w:r>
    </w:p>
    <w:p>
      <w:pPr>
        <w:pStyle w:val="Heading2"/>
      </w:pPr>
      <w:r>
        <w:t>Erwägungen</w:t>
      </w:r>
    </w:p>
    <w:p>
      <w:r>
        <w:rPr>
          <w:b/>
        </w:rPr>
        <w:t>E. 1.1</w:t>
      </w:r>
    </w:p>
    <w:p>
      <w:r>
        <w:t>Le recours est dirigé contre une décision relative à l’indemnisation du conseil d’office rendue par l’autorité de protection.</w:t>
      </w:r>
    </w:p>
    <w:p>
      <w:r>
        <w:rPr>
          <w:b/>
        </w:rPr>
        <w:t>E. 1.2</w:t>
      </w:r>
    </w:p>
    <w:p>
      <w:r>
        <w:t>Contre une telle décision, le recours est ouvert devant la Chambre des curatelles et non devant la Chambre des recours (art. 8 LVPAE [Loi du 29 mai 2012 d'application du droit fédéral de la protection de l'adulte et de l'enfant, RSV 211.255] et 76 al. 2 LOJV [Loi d'organisation judiciaire du 12 décembre 1979, RSV 173.01]), et doit être instruit selon les règles des art. 319 ss CPC applicables par renvoi de l’art. 450f CC (JdT 2015 III 161). Le délai de recours est en principe de dix jours (art. 321 al. 2 CPC) et les conclusions nouvelles, les allégations de fait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1.3</w:t>
      </w:r>
    </w:p>
    <w:p>
      <w:r>
        <w:t>En l’espèce, le recourant a un intérêt juridiquement protégé à l’annulation ou à la modification de la décision attaquée. Il a déposé son recours dans les trente jours qui ont suivi sa notification. Les voies de droit indiquaient un délai de recours de trente jours et non de dix jours. La protection de la bonne foi ne doit pas porter préjudice à la partie (ATF 124 I 255). Cette protection est toutefois exclue si l’erreur est clairement reconnaissable ; il n’y a pas de protection si l’avocat peut déceler l’erreur à la seule lecture du texte légal, sans recourir à la jurisprudence ou à la doctrine (Bohnet, CPC commenté, n. 21 ad art. 52 CPC). En l’occurrence, le recourant, pourtant professionnel du droit, a ignoré cette jurisprudence et le délai de recours de dix jours. Toutefois, comme la voie de droit ressort de la jurisprudence, et non directement de la loi, la bonne foi implique de retenir que le recours a été déposé en temps utile. En conséquence, écrit et motivé, le recours peut être considéré comme recevable.</w:t>
      </w:r>
    </w:p>
    <w:p>
      <w:r>
        <w:rPr>
          <w:b/>
        </w:rPr>
        <w:t>E. 2</w:t>
      </w:r>
    </w:p>
    <w:p>
      <w:r>
        <w:t>Le recours peut être formé pour violation du droit et constatation inexacte des faits (art. 320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Berne 2009, n. 19 ad art. 97 LTF).</w:t>
      </w:r>
    </w:p>
    <w:p>
      <w:r>
        <w:rPr>
          <w:b/>
        </w:rPr>
        <w:t>E. 3</w:t>
      </w:r>
    </w:p>
    <w:p>
      <w:r>
        <w:t>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alors qu’en l’absence de liste des débours, le conseil juridique commis d’office reçoit à ce titre une indemnité forfaitaire de 50 fr. pour une affaire transigée avant l’ouverture d’action et de 100 fr. dans les autres cas (al. 3).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que les avis de transmission ou « mémos » ne peuvent pas être pris en compte à titre d’activité déployée par l’avocat, s’agissant de pur travail de secrétariat (CREC 5 janvier 2015/10 ; CREC 3 septembre 2014/312 ; Juge délégué CACI 18 août 2014/436 consid. 3 ; CACI 29 juillet 2014/235 consid. 6).</w:t>
      </w:r>
    </w:p>
    <w:p>
      <w:r>
        <w:rPr>
          <w:b/>
        </w:rPr>
        <w:t>E. 3.1</w:t>
      </w:r>
    </w:p>
    <w:p>
      <w:r>
        <w:t>Le recourant conteste la réduction opérée sur l’indemnité requise. Il fait valoir qu’il avait pris soin de remettre au juge une liste précise d’opérations dont il découlait qu’il avait personnellement consacré 22 heures et 20 minutes au traitement du dossier en y ajoutant des débours à concurrence de 46 francs. En invoquant simplement l’apparence d’un total d’heures élevé et en fixant arbitrairement ce total à 16 heures et 50 minutes, le premier juge aurait violé le droit du conseil d’office à être rémunéré de façon équitable pour son activité.</w:t>
      </w:r>
    </w:p>
    <w:p>
      <w:r>
        <w:rPr>
          <w:b/>
        </w:rPr>
        <w:t>E. 3.2.1</w:t>
      </w:r>
    </w:p>
    <w:p>
      <w:r>
        <w:t>Aux termes de l’art. 122 al. 1 let. a CPC, le conseil juridique commis d’office est rémunéré équitablement par le canton. Cette notion aux contours imprécis doit permettre aux cantons de fixer, sur la base d’un large pouvoir d’appréciation (ATF 141 I 124 consid. 3.2), le montant de l’indemnité allouée au conseil d’office dans les limites de leur tarif des frais (Rüegg, Basler Kommentar, ZPO, op. cit., nn. 5 à 7 ad art. 122 CPC). 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 TF 5D_4/2016 du 26 février 2016 consid. 4.3.3). Il incombe ainsi au conseil d’office de se limiter aux opérations nécessaires à l’accomplissement du mandat officiel, sans endosser le rôle du mandataire privé appelé à résoudre toutes les questions que lui soumettrait son client, de sorte que le juge peut considérer, s’agissant d’une affaire de droit de famille concernant le droit de garde et de visite, que l’ampleur des écritures d’appel (soit 29 pages pour l’appel et 24 pages pour la réponse) n’était pas nécessaire à la sauvegarde des intérêts du client, sans que soient restreints de manière inadmissible les choix de stratégies procédurales ou de préparation de l’audience d’appel (TF 5D_4/2016 du 26 février 2016 consid. 4.4). L’avocat doit toutefois bénéficier d’une marge d’appréciation suffisante pour déterminer l’importance du travail qu’exige l’affaire (TF 5D_4/2016 du 26 février 2016 consid. 4.3.2 et 5.2). Même lorsque la conduite du mandat se révèle difficile à cause du comportement du client, l’avocat doit considérer de manière critique les actes nécessaires à la défense de celui-ci. Il n’y pas droit à l’indemnisation de contacts illimités avec le client, mais seulement à ceux qui sont nécessaires à la défense de ses intérêts (TF 5D_1/2009 du 13 février 2009 consid. 2.3.4 et 2.4). Il est tenu d’avertir le client que le temps inutile ne peut être mis à la charge de l’Etat (Bühler, Berner Kommentar, n. 40 ad art. 122 CPC). Dans le canton de Vaud, l’art. 2 al. 1 RAJ (Règlement du 7 décembre 2010 sur l’assistance judiciaire en matière civile ; RSV 211.02.03) – qui renvoie à l’art. 122 al.</w:t>
      </w:r>
    </w:p>
    <w:p>
      <w:r>
        <w:rPr>
          <w:b/>
        </w:rPr>
        <w:t>E. 3.2.2</w:t>
      </w:r>
    </w:p>
    <w:p>
      <w:r>
        <w:t>La motivation d’une décision est indispensable lorsqu’elle peut faire l’objet d’un recours (De Luze et crts, Droit de la famille, Lausanne 2013, n. 2.1 ad art. 445 al. 1 CC, p. 761 et réf. cit.). En particulier, au sens de l’art. 29 al. 2 Cst (Constitution fédérale du 18 avril 1999 ; RS 201), le juge doit mentionner, au moins brièvement, les motifs qui l’ont guidé et sur lesquels il a fondé sa décision, de manière à ce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les références,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La fixation de la note d’honoraires de l‘avocat d’office ne doit en principe pas être motivée, ou seulement sommairement. Un devoir de motivation n’existe que si l’avocat produit une note et que le tribunal s’en écarte en retenant un montant ne correspondant pas à la pratique (TF 5A_506/2013 du 10 décembre 2013 consid. 2.2 ; TF 5D_28/2014 du 26 mai 2014 consid. 2.2).</w:t>
      </w:r>
    </w:p>
    <w:p>
      <w:r>
        <w:rPr>
          <w:b/>
        </w:rPr>
        <w:t>E. 3.3</w:t>
      </w:r>
    </w:p>
    <w:p>
      <w:r>
        <w:t>En l’espèce, la décision est certes très succintement motivée. Le recourant a cependant été en mesure de l’attaquer de manière circonstanciée, en faisant valoir tous les éléments pertinents pour fonder son recours. Il n’y a dès lors pas lieu à annulation, le droit d’être entendu de la partie n’ayant pas été violé.</w:t>
      </w:r>
    </w:p>
    <w:p>
      <w:r>
        <w:rPr>
          <w:b/>
        </w:rPr>
        <w:t>E. 3.4</w:t>
      </w:r>
    </w:p>
    <w:p>
      <w:r>
        <w:t>Le détail des opérations avec minutage figure en annexe à la note d’honoraires du recourant du 12 janvier 2016. On constate qu’il y a de très nombreuses prises de connaissance de courriels ou de courriers, systématiquement comptés à 0.10 heure, alors que la jurisprudence retient qu’il n’y a pas lieu de prendre en compte toutes les prises de connaissance des courriers/courriels qui n’impliquent qu’une lecture cursive et brève, ne dépassant pas les quelques secondes pour un avocat correctement formé (CREC 3 septembre 2014/312 et réf.). De même, il y deux fois 0.20 heure pour l’établissement des bordereaux, alors que la confection d’un bordereau de pièces – sauf s’il est complexe – relève d’un pur travail de secrétariat et n’a pas à être supporté par l’assistance judiciaire (CREC 4 février 2016/40). De même, 3 heures pour la rédaction de la lettre au juge valant requête des mesures provisionnelles et préprovisionnelles du 14 décembre 2015 sont exagérées. Une heure pour lire une requête de mesures provisionnelles de huit pages le 18 décembre 2015, déposée par Me [...] auprès de l’autorité de protection, est très largement compté. Par ailleurs 3 heures 50 ont été comptées pour l’audience du 13 novembre 2015, alors que, selon le procès-verbal, celle-ci a duré de 9 heures 36 à 10 heures 55, soit 1 heure 20 et qu’il est vraisemblable que l’avocat a compté son temps depuis son départ de l’étude, à Lausanne, jusqu’à son retour, alors que le temps de déplacement ne devait être rémunéré que par le forfait de vacation de 120 francs. Le premier juge a fixé à 16 h 50 le temps indemnisable, opérant une réduction de</w:t>
      </w:r>
    </w:p>
    <w:p>
      <w:r>
        <w:rPr>
          <w:b/>
        </w:rPr>
        <w:t>E. 5</w:t>
      </w:r>
    </w:p>
    <w:p>
      <w:r>
        <w:t>h 40. Au regard des éléments relevés ci-dessus, une telle réduction n’est pas critiquable et le temps supérieur invoqué ne saurait être mis à la charge de l’Etat, respectivement de la partie selon l’art. 123 al. 1 CPC. 4. 4.1 En conclusion, le recours doit être rejeté et la décision attaquée confirmée. 4.2 Les frais judiciaires de deuxième instance, arrêtés à 100 fr. (art. 74a al. 1 TFJC [Tarif du 28 septembre 2010 des frais judiciaires civils ; RSV 270.11.5]), sont mis à la charge du recourant qui en a fait l’avance. Par ces motifs, la Chambre des curatelles du Tribunal cantonal, statuant à huis clos, prononce : I. Le recours est rejeté. II. La décision est confirmée. III. Les frais judiciaires de deuxième instance, arrêtés à 100 fr. (cent francs), sont mis à la charge du recourant P.________. IV. L'arrêt motivé est exécutoire. La présidente :              Le greffier : Du 27 juin 2016 Le dispositif de l'arrêt qui précède est communiqué par écrit aux intéressés. Le greffier : Du L'arrêt qui précède, dont la rédaction a été approuvée à huis clos, est notifié à : ‑ Me P.________, et communiqué à : ‑ Justice de paix du district du Jura – Nord vaudois - F.________,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