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2016 / 622 vom 30. Mai 2016</w:t>
      </w:r>
    </w:p>
    <w:p>
      <w:r>
        <w:t>VD Tribunal cantonal, 2016-05-30, FR</w:t>
      </w:r>
    </w:p>
    <w:p>
      <w:r>
        <w:rPr>
          <w:b/>
        </w:rPr>
        <w:t xml:space="preserve">Quelle: </w:t>
      </w:r>
      <w:r>
        <w:t>https://mcp.opencaselaw.ch/entscheid/vd_findinfo_Arr_t___2016___622</w:t>
      </w:r>
    </w:p>
    <w:p>
      <w:r>
        <w:t>FR: VD_FINDINFO Arrêt / 2016 / 622 du 30 mai 2016</w:t>
      </w:r>
    </w:p>
    <w:p>
      <w:r>
        <w:t>IT: VD_FINDINFO Arrêt / 2016 / 622 del 30 maggio 2016</w:t>
      </w:r>
    </w:p>
    <w:p>
      <w:pPr>
        <w:pStyle w:val="Heading2"/>
      </w:pPr>
      <w:r>
        <w:t>Regeste</w:t>
      </w:r>
    </w:p>
    <w:p>
      <w:r>
        <w:t>ASSISTANCE JUDICIAIRE | 450f CC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heures et 9 minutes dont 49 heures et 4,5 minutes par ses stagiaires pour la période du 3 octobre 2014 au 30 mars 2016, était manifestement disproportionné eu égard à la nature peu complexe de la cause, le premier juge a estimé qu’il se justifiait de réduire d’un tiers le nombre d’heures consacré au dossier et de se référer au tarif de l’avocat-stagiaire. Quant aux débours, dont le conseil d’office sollicitait qu’ils soient fixés forfaitairement selon les critères usuels, il a considéré qu’il s’agissait de frais effectifs qui ne sauraient être arrêtés de cette manière, d’autant que l’avocat ne les faisait en définitive pas valoir. B. Par acte du 4 mai 2016, Me N.________ a recouru auprès de la Chambre des recours civile en concluant principalement à l’annulation de la décision, subsidiairement à sa réforme en ce sens que son indemnité d’office soit fixée à     6'096 fr., TVA et débours inclus, pour les opérations effectuées pour le compte de H.________ entre le 3 octobre 2014 et le 30 mars 2016. C. La cour retient les faits pertinents suivants : 1. Le 21 juillet 2014, H.________ a sollicité la levée de la mesure de curatelle de portée générale dont elle faisait l’objet. Le 22 octobre 2014, elle a déposé une demande d’assistance judiciaire dans la cause la concernant, avec effet rétroactif au 3 octobre 2014. Par décision du 14 novembre 2014, la juge de paix a accordé à H.________ le bénéfice de l’assistance judiciaire avec effet au 22 octobre 2014, dans la mesure suivante : exonération d’avances et des frais judiciaires ainsi qu’assistance d’office d’un avocat en la personne de Me N.________. Me [...], avocat-stagiaire en l’étude de Me N.________, a assisté sa cliente à l’audience du 20 novembre 2014, puis à celle du 30 juillet 2015, à l’issue de laquelle la justice de paix a chargé le juge d’ouvrir une enquête en levée, respectivement en adaptation de la mesure de curatelle de portée générale instituée en faveur de H.________. 2. Par lettre du 11 mars 2016, Me [...] a écrit à la Justice de paix du district de Lausanne (ci-après : justice de paix) qu’il venait d’être consulté par H.________, qui l’avait chargé de la défense de ses intérêts concernant sa procédure de curatelle. Par courrier à la justice de paix du 31 mars 2016, faisant valoir que H.________ souhaitait désormais faire appel aux services de Me [...], Me N.________ a demandé à être relevé de sa mission de conseil d’office de la personne concernée, partant de l’idée le conseil précité serait désigné pour lui succéder. A toutes fins utiles, il remettait à l’autorité de protection, en vue de la fixation de son indemnité de défenseur d’office, la liste de ses opérations dans laquelle il indiquait avoir consacré au dossier, du 3 octobre 2014 au 30 mars 2016, 50.15 heures, dont 0.40 effectuées par lui-même et 49.75 heures par [...] et [...], avocats-stagiaires en son étude. Selon cette liste, entre le 22 octobre 2014 et le 21 mars 2016, H.________ avait téléphoné à l’étude de Me N.________ soixante-cinq fois, plusieurs fois par semaine, voire par jour, représentant 20.25 unités horaires, et dix entretiens avaient eu lieu à l’étude (12.9 unités horaires) ; la fille de la personne concernée avait téléphoné deux fois et une vingtaine de courriers et courriels avaient été rédigés, respectivement étudiés. Me N.________ précisait enfin que les débours pouvaient être fixés forfaitairement. 3. Le 5 avril 2016, la juge de paix a écrit à Me [...] qu’elle avait pris note du fait que Me N.________ avait renoncé à son mandat de conseil d’office de H.________ et qu’il le remplaçait.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