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567 vom 24. Juni 2016</w:t>
      </w:r>
    </w:p>
    <w:p>
      <w:r>
        <w:t>VD Tribunal cantonal, 2016-06-24, FR</w:t>
      </w:r>
    </w:p>
    <w:p>
      <w:r>
        <w:rPr>
          <w:b/>
        </w:rPr>
        <w:t xml:space="preserve">Quelle: </w:t>
      </w:r>
      <w:r>
        <w:t>https://mcp.opencaselaw.ch/entscheid/vd_findinfo_Arr_t___2016___567</w:t>
      </w:r>
    </w:p>
    <w:p>
      <w:r>
        <w:t>FR: VD_FINDINFO Arrêt / 2016 / 567 du 24 juin 2016</w:t>
      </w:r>
    </w:p>
    <w:p>
      <w:r>
        <w:t>IT: VD_FINDINFO Arrêt / 2016 / 567 del 24 giugno 2016</w:t>
      </w:r>
    </w:p>
    <w:p>
      <w:pPr>
        <w:pStyle w:val="Heading2"/>
      </w:pPr>
      <w:r>
        <w:t>Regeste</w:t>
      </w:r>
    </w:p>
    <w:p>
      <w:r>
        <w:t>CHUTE, DEGRÉ DE L'INVALIDITÉ, AGRESSION, INDEMNITÉ POUR ATTEINTE À L'INTÉGRITÉ, DROIT D'ÊTRE ENTENDU, ATTEINTE À LA SANTÉ PSYCHIQUE, ATTEINTE À LA SANTÉ PHYSIQUE, CAUSALITÉ ADÉQUATE, COMPARAISON DES REVENUS | 29 al. 2 Cst., 18 LAA, 24 al. 1 LAA, 25 al. 1 LAA, 6 LAA, 4 LPGA, 28 al. 3 OLAA, 36 al. 1 OLAA</w:t>
      </w:r>
    </w:p>
    <w:p>
      <w:pPr>
        <w:pStyle w:val="Heading2"/>
      </w:pPr>
      <w:r>
        <w:t>Erwägungen</w:t>
      </w:r>
    </w:p>
    <w:p>
      <w:r>
        <w:rPr>
          <w:b/>
        </w:rPr>
        <w:t>E. 8</w:t>
      </w:r>
    </w:p>
    <w:p>
      <w:r>
        <w:t>Cela étant, il convient de déterminer le degré d’invalidité présenté par le recourant. 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130 V 343 consid. 3.4 ; 128 V 29 consid. 1 ; TF 8C_748/2008 du 10 juin 2009 consid. 2.1). A cela s’ajoute que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 l'intention de progresser sur le plan professionnel doit s'être manifestée par des étapes concrètes, telles que la fréquentation d'un cours, le début d'études ou la passation d'examens (ATF 96 V 29 ; TF 9C_188/2011 du 8 juin 2011 consid. 3 ; RAMA 2006 n° U 568 p. 675 consid. 2). b) Il convient de déterminer le revenu avec et sans invalidité qu’aurait perçu le recourant en 2012. Le recourant conteste le revenu sans invalidité pour le premier motif qu’au vu de son âge et de son expérience, il serait très certainement devenu un maçon spécialisé, nonobstant ses atteintes à la santé. Selon les classes de salaire de la Convention nationale du secteur principal de la construction en Suisse, un maçon de classe A est un ouvrier qualifié de la construction, un maçon de classe B un ouvrier de la construction avec connaissances professionnelles et un maçon de classe C un ouvrier de la construction sans connaissances professionnelles. Disposant d'une expérience de plusieurs années dans l'activité de maçon, le recourant pouvait effectivement prétendre à une classe de salaire B. Cependant, compte tenu de sa scolarité écourtée comme de son absence de qualifications professionnelles particulières, l'accès du recourant à une classification supérieure n'est en l'occurrence pas vraisemblable, d'autant qu’il aura travaillé pendant 14 ans pour le même employeur (1982 à 1996) sans que celui-ci ne lui propose un salaire de maçon classe A. À cela s'ajoute que dans le cas d'espèce, il paraît douteux que le passage en classe A aurait eu une influence significative sur sa rémunération horaire. En effet,  le salaire horaire du recourant en qualité de maçon B auprès de la société J.________ se serait situé en 2012 entre 28 fr. 50 et 29 fr. alors qu'il était en 2011 de 29 fr. 90 pour un maçon qualifié A employé dans la même entreprise et âgé de 60 ans. Par ailleurs, la CNA a finalement retenu un salaire horaire de 30 fr. 27 pour fixer le revenu sans invalidité qui aurait été celui du recourant en 2012. Le maçon qualifié A de la société Y.________ SA aurait quant à lui perçu un salaire de 30 fr. 25 en 2012 (29 fr. 90 + 0,5 %)  s’il n’avait pris sa retraite. N'est donc pas critiquable le choix par l'intimée de calculer le revenu sans invalidité en indexant le salaire horaire de 24 fr. 65 réalisé par l'assuré en 1996 sur la base des augmentations annuelles arrêtées jusqu'en 2012 par la Convention nationale du secteur principal de la construction en Suisse. Ce salaire horaire aurait été ainsi de 30 fr. 27 et en tenant compte d'un nombre d'heures de travail de 2’112 par année ainsi que d'un taux de 8.3 % pour le 13 e salaire, le revenu réalisable sans invalidité par le recourant en 2012 en qualité de maçon classe B aurait effectivement atteint 69'236.45 francs. Au demeurant, si ce revenu sans invalidité avait été calculé sur la base des données statistiques résultant de l'Enquête suisse sur la structure des salaires (ESS), publiées par l’Office fédéral de la statistique (OFS), singulièrement sur la base des salaires ESS 2012 pour une activité dans le secteur « 41-43 Construction », impliquant des tâches physiques ou manuelles simples (TA1, niveau de qualification 1), le revenu mensuel aurait été de 5'430 francs. Comme les salaires bruts standardisés tiennent compte d'un horaire de travail de quarante heures, soit une durée hebdomadaire inférieure à la moyenne usuelle dans les entreprises en 2012 (41.7 h ; La Vie économique, 12-2014, p. 92, tableau B 9.2), le revenu mensuel se serait élevé à 5'660 fr. 80. (5'430 fr. x 41,7 / 40), soit un salaire annuel de 67'929 fr. 30, quoi qu’il en soit inférieur au revenu retenu par l'intimée dans la décision litigieuse. c) Le recourant conteste également le montant du revenu avec invalidité, estimant que les DPT prises en compte ne sont pas en adéquation avec son état de santé, singulièrement son handicap.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 / Moser-Szeless , L’assurance-accidents obligatoire, in Schweizerisches Bundesverwaltungsrecht [SBVR], 2 e éd., Bâle/Genève/Munich 2007, n° 176).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Un abattement en pour-cent du salaire d'invalide déterminant n'est pas admissible dans le système des DPT (ATF 129 V 472 consid. 4.2.3). En l’occurrence, l’intimée a listé septante-deux DPT et en a sélectionné cinq, correspondant aux activités de collaborateur de production, aide mécanicien et contrôleur binoculaire. Cette dernière profession (DPT 8819713 et 8819861) consiste en une activité de contrôle de qualité de petits contacteurs au moyen d'une loupe binoculaire, exercée en position majoritairement assise, avec parfois des déplacements jusqu'à 50m ou au-delà de 50m, ou encore le port de charges très légères ou légères mais jamais au-dessus du buste. La première activité de collaborateur de production (DPT 5201) correspond à un travail de montage électrique de sous-ensembles et appareils, de petite taille, dont le poids ne dépasse pas 3 à 4 kg, travail toujours exercé en position assise, comprenant très rarement le port de charges entre 5 et 10 kg mais jamais au-dessus du buste. La seconde activité de collaborateur de production (DPT 362411) implique le montage de circuits imprimés et de modules électroniques, le poste comportant des activités de montage de cartes modules électroniques, un contrôle de qualité, une surveillance du montage autour de circuits, avec encore, sur les machines automatiques, le réglage et l'alimentation de deux machines de fabrication de circuits imprimés. Un niveau de formation élémentaire est requis. L'activité s'exerce le plus souvent assis, parfois debout, implique rarement le port de charges très légères et la marche jusqu'à 50m. Enfin, l'activité d'aide-mécanicien (DPT 3305)  s’exerce principalement en position assise et consiste à monter des modules électro-mécaniques simples, pesant quelques grammes. Le recourant conteste que les activités retenues soient adaptées à ses limitations fonctionnelles. Dans ce contexte, il a invoqué certains griefs concernant des DPT ne correspondant pas à celles sélectionnées par l’intimée. Il ne sera donc pas entré en matière sur ces griefs-là. Il en ira de même des critiques des DPT quant à leur compatibilité avec les atteintes à la santé non accidentelles, telles que les discopathies. En relation avec la DPT 5201, le recourant soutient que le port de poids de 3 à 4 kg dépasse largement l'exigibilité d'une activité légère de type industriel. Cependant, le port de charges jusqu'à 5 kg peut encore être qualifié de léger, voire très léger, l'essentiel dans le cas du recourant étant que ce port s'exerce au plus à hauteur d'établi. Or, ni la DPT 5201, ni les quatre autres DPT sélectionnées n'impliquent de port de charges à une hauteur supérieure. Le recourant soutient encore que l'activité d'aide-mécanicien (DPT 3305) et celle de collaborateur de production (DPT 362411) exigent une formation ou des capacités dépassant ses compétences intellectuelles. Pour la première, le niveau de formation requis s'arrête à l'école primaire et pour la seconde à une formation élémentaire. Le recourant n'a certes pas suivi de formation professionnelle. Cependant, dans le cadre de l'activité de collaborateur de production précitée, l'employeur prévoit une initiation ou formation interne d’une durée de 2 mois, comme d'ailleurs dans celle d'aide mécanicien. Il serait par ailleurs peu vraisemblable que le recourant ne dispose pas des compétences intellectuelles nécessaires dès l'instant où il a exercé quelques années en qualité de commerçant indépendant. S’agissant de l'activité de contrôleur binoculaire, le recourant considère que l'usage d'une loupe binoculaire dépasse largement ses capacités actuelles. Faute de l'existence d'une atteinte oculaire influençant les limitations fonctionnelles, ce grief s'avère  sans pertinence. Pour le surplus, dans la mesure où les cinq DPT sélectionnées par l’intimée respectent les limitations fonctionnelles d’origine accidentelle du recourant, elles peuvent être considérées comme adaptées au handicap de l’assuré. d) Même dans l'hypothèse où le recourant devait être suivi sur sa critique de sélection des DPT, il apparaît que le degré d'invalidité calculé sur la base des données statistiques ESS, singulièrement pour une activité dans les secteurs production et services impliquant des tâches physiques ou manuelles simples, n’entraînerait pas un taux supérieur. En effet, le revenu mensuel  moyen s’élevait à 5'210 fr. en 2012  (TA1, niveau de qualification 1). En tenant compte d'un horaire de travail hebdomadaire de 41.7 h, le revenu mensuel aurait été de 5'431 fr. 45 (5'210 fr. x 41.7 / 40), ce qui donne un salaire annuel de 65'177.10 francs. Le degré d'invalidité serait ainsi de 15.28 % avec un abattement de 10 % sur le revenu ESS, et de 29.40 % dans l'hypothèse d’un abattement maximal de 25 %. e) En plaidoirie, le conseil du recourant s’est référé à la jurisprudence fédérale (TF 9C_ 366/2014 du 19 novembre 2014 ; ATF 138 V 457 consid. 3) pour exciper de l’âge proche de la retraite et maintenir sa conclusion en augmentation de la rente d’invalidité. Cette jurisprudence propre à l’assurance-invalidité n’est pas transposable en matière d’assurance-accidents, dans la mesure où l’art. 28 al. 4 OLAA régit expressément la situation de l’assuré qui, en raison de son âge, ne reprend pas d’activité lucrative après l’accident ou si la diminution de la capacité de gain est due essentiellement à son âge avancé. Dans une telle hypothèse, les revenus de l’activité lucrative déterminants pour l’évaluation du degré d’invalidité sont ceux qu’un assuré d’âge moyen dont la santé a subi une atteinte de même gravité pourrait réaliser. Au sens de la jurisprudence, en règle générale, l’on est en présence d’un âge avancé au sens de l’art. 28 al. 4 OLAA lorsque l’assuré est âgé de plus de 60 ans. L’âge moyen est fixé entre 40 et 45 ans (cf. Ghislaine Frésard-Fellay , in Ghislaine Frésard-Fellay / Bettina Kahil-Wolff / Stéphanie Perrenoud , Droit suisse de la sécurité sociale, Vol II., Berne 2015, p. 423). A la date de la décision, le recourant était âgé de plus de 60 ans de telle sorte que l’art. 28 al. 4 OLAA lui est applicable. Sur la base des données statistiques ESS, plus exactement sur la base du revenu statistique auquel peuvent prétendre les hommes âgé de 40 à 49 ans dans une activité sans fonction de cadre dans le secteur privé (TA9_b), le revenu  moyen s’élève à 6'288 francs. En tenant compte d'un horaire de travail de 41.7 h, le revenu mensuel s'élève à 6'555 fr. 24 (6’288 fr. x 41.7 / 40), ce qui donne un salaire annuel de 78'662 fr. 88, soit un revenu supérieur au revenu avec invalidité déterminé par l’intimé. Il en irait de même en retenant le revenu minimum de 5'285 fr.  ressortant du tableau TA9_b, le salaire annuel s’élevant alors à 66'115 fr. 35 ([5'285 fr. x 41.7 / 40] x 12). L’application de l’art. 28 al. 3 OLAA n’entraînerait ainsi aucune invalidité, respectivement un degré d’invalidité de 4.51 %. f) Le revenu d'invalide exigible retenu par l’intimée dans sa décision sur opposition est de 50'252 francs. Or, le revenu exigible moyen résultant des cinq DPT sélectionnées, déterminant en l’occurrence, est de 53'615 francs. Il s’ensuit une perte de gain de 22.56 % et non de 27.41 %. Le principe de la réforme d’une décision au détriment du recourant est potestatif (art. 61 let. d LPGA) et les circonstances d’espèce permettent de renoncer à une telle réforme. Le revenu avec invalidité retenu par l’intimée sera donc confirmé. En l'occurrence, la décision de l'intimée maintenant à 30 % le degré de la rente d'invalidité n'est pas critiquable dans la mesure où le nouvel accident n'a pas entraîné une aggravation du degré d'invalidité, nonobstant les limitations fonctionnelles nouvelles. g) Le gain annuel assuré calculé en application de l'article 24 al. 4 OLAA, soit 67'078 fr., n'est pour le surplus pas litigieux.</w:t>
      </w:r>
    </w:p>
    <w:p>
      <w:r>
        <w:rPr>
          <w:b/>
        </w:rPr>
        <w:t>E. 9</w:t>
      </w:r>
    </w:p>
    <w:p>
      <w:r>
        <w:t>Le recourant soutient que le taux de l’indemnité pour atteinte à l’intégrité pour l’atteinte à la cheville droite arrêté par l’intimée à 10 % est insuffisant, estimant qu’il devrait être fixé à 20 %. Il reproche plus particulièrement à l’intimée des constatations incomplètes et considère que l’application de la table 2 s’impose. a) Selon l’art. 24 al. 1 LAA, l’assuré qui, par suite de l’accident, souffre d’une atteinte importante et durable à son intégrité physique, mentale ou psychique, a droit à une indemnité équitable pour atteinte à l’intégrité. Aux termes de l'art. 36 al. 1 OLAA,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(cf. ATF 133 V 224 consid. 2). L’art. 36 al. 4 OLAA impose de tenir équitablement compte des aggravations prévisibles de l’atteinte à l’intégrité, une révision n’étant possible qu’en cas exceptionnel, soit si l’aggravation est importante et n’était pas prévisible.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 113 V 218 consid. 4b). De même, puisqu’elle doit être prise en compte lors de l’évaluation initiale, l’aggravation prévisible de l’atteinte doit être fixée sur la base des constatations du médecin (cf.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et la référence citée). Aux termes de l’art. 25 al. 1 LAA, l’indemnité pour atteinte à l’intégrité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(cf. ATF 115 V 147 consid. 1, 113 V 218 consid. 4b et les références citées). L’annexe 3 de l’OLAA comporte un barème – reconnu conforme à la loi et non exhaustif – des lésions fréquentes et caractéristiques, évaluées en pour cent du montant maximum du gain assuré (ATF 124 V 29 consid. 1b et les références citées).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et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(ATF 124 V 209 consid. 4a/cc ; 116 V 156 consid. 3a ; RAMA 1998 n° U 296 p. 235, U 145/96 consid. 2a) et permettent de procéder à une appréciation plus nuancée, lorsque l’atteinte d’un organe n’est que partielle. b) Selon la table 5 de la Division médicale de la CNA, intitulée « Atteinte à l’intégrité résultant d’arthrose », retenue par le Dr F.________, les arthroses légères ne donnent pas droit à une indemnité tandis que si l’articulation considérée présente une instabilité en plus de l’arthrose, le taux d’atteinte à l’intégrité le plus élevé sera retenu. Pour une arthrose tibiotarsienne moyenne, le taux d’indemnisation est fixé de 5 à 15 % et pour une arthrose grave, de 15 à 30 %. La table 2 invoquée par le recourant concerne les « atteintes à l’intégrité résultant de troubles fonctionnels des membres inférieurs » et mentionne, s’agissant des troubles fonctionnels douloureux après fracture de l’articulation tibio-tarsienne, un taux d’indemnisation de 10 à 20 %. c) Le recourant se prévaut des séquelles limitatives mentionnées par le Dr H.________ dans son rapport du 2 janvier 2012. L’arthrose moyenne retenue par le Dr F.________ constitue par nature une séquelle limitative et le Dr H.________ n’a pas estimé quantitativement le taux d’indemnisation en résultant si ce n’est dans son rapport du 30 août 2011 à l’autorité pénale, dans lequel il indiquait une impotence fonctionnelle du pied et de la cheville de 20 %. Or, cette évaluation est ancienne, de surcroît antérieure à l’ablation du matériel d’ostéosynthèse, effectuée avant stabilisation de l’état de santé du recourant de telle sorte qu’il ne saurait en être tenu compte. Le recourant argue encore du pincement articulaire (espace réduit entre les extrémités osseuses) mis en évidence par le bilan radiologique. Il s’agit cependant de l’un des premiers signes de l’arthrose de telle sorte que l’on ne saurait considérer qu’il aurait été omis par le Dr F.________. Par ailleurs, aucun avis médical ne vient démontrer la probabilité d’une aggravation de l’arthrose telle que l’indemnité pour atteinte à l’intégrité devrait d’ores et déjà être fixée selon les critères de l’arthrose grave. Quant à la perte d’équilibre lors de la marche sur la pointe des pieds ou sur les talons évoquée par le recourant, le Dr F.________ la qualifie de légère dans son examen clinique, tout en précisant que la marche s’effectue pratiquement sans boiterie et que les amplitudes articulaires des chevilles sont symétriques et physiologiques. De son côté, le recourant ne s’est plaint que d’une gêne diurne constante de la cheville droite, assortie parfois de douleurs. Cela étant, on ne saurait retenir l’existence d’un trouble fonctionnel de la cheville droite justifiant l’application de la table 2, ni une instabilité surajoutée à l’arthrose, laquelle aurait imposé de retenir le taux d’atteinte à l’intégrité le plus élevé. Pour le surplus, l’évaluation de ce taux par le Dr F.________ est motivée. Elle peut donc être retenue et l’indemnité pour atteinte à l’intégrité de 10 % sera confirmée, celle-ci respectant au demeurant les conditions de l’art. 36 al. 3 OLAA, lequel régit la fixation du taux d’indemnisation en cas de concours avec d’autres atteintes actuelles, respectivement et comme en l’occurrence avec des indemnités déjà reçues. d) A l’audience de jugement, le recourant a fait valoir qu’il était incohérent de procéder à une augmentation de l’indemnité pour atteinte à l’intégrité pour l’atteinte à l’épaule et d’octroyer une telle indemnité pour la nouvelle atteinte à la cheville tout en considérant que la rente d’invalidité demeurait inchangée. Cette argumentation est vaine. En effet, l'indemnité pour atteinte à l'intégrité ne compense pas une perte de revenu ; elle est une forme de réparation morale pour le préjudice immatériel subi par la personne atteinte, qui perdure au-delà de la phase du traitement médical et dont il y a lieu d'admettre qu'il subsistera la vie durant. Elle est due indépendamment de la rente et peut l’être même dans l’hypothèse où le droit à une rente n’était pas ouvert  (ATF 133 V 224 consid. 5.1).</w:t>
      </w:r>
    </w:p>
    <w:p>
      <w:r>
        <w:rPr>
          <w:b/>
        </w:rPr>
        <w:t>E. 10</w:t>
      </w:r>
    </w:p>
    <w:p>
      <w:r>
        <w:t>L’instruction du dossier permettant de statuer en toute connaissance de cause, on ne voit pas, dans ce contexte, ce que les mesures d’instruction requises, plus particulièrement une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 II 425 consid. 2.1). Il sera dès lors renoncé aux mesures d’instruction requises par le recourant.</w:t>
      </w:r>
    </w:p>
    <w:p>
      <w:r>
        <w:rPr>
          <w:b/>
        </w:rPr>
        <w:t>E. 11</w:t>
      </w:r>
    </w:p>
    <w:p>
      <w:r>
        <w:t>En définitive, la décision attaquée n’est pas critiquable dans son résultat et doit être confirmée. Il s’ensuit que le recours doit être rejeté. Le recourant ne peut prétendre à des dépens (art. 61 let. g LPGA et 55 LPA-VD). Par ailleurs, la procédure étant gratuite (art. 61 let. a LPGA), il n’y a pas lieu de percevoir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