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2016 / 524 vom 7. Juni 2016</w:t>
      </w:r>
    </w:p>
    <w:p>
      <w:r>
        <w:t>VD Tribunal cantonal, 2016-06-07, FR</w:t>
      </w:r>
    </w:p>
    <w:p>
      <w:r>
        <w:rPr>
          <w:b/>
        </w:rPr>
        <w:t xml:space="preserve">Quelle: </w:t>
      </w:r>
      <w:r>
        <w:t>https://mcp.opencaselaw.ch/entscheid/vd_findinfo_Arr_t___2016___524</w:t>
      </w:r>
    </w:p>
    <w:p>
      <w:r>
        <w:t>FR: VD_FINDINFO Arrêt / 2016 / 524 du 7 juin 2016</w:t>
      </w:r>
    </w:p>
    <w:p>
      <w:r>
        <w:t>IT: VD_FINDINFO Arrêt / 2016 / 524 del 7 giugno 2016</w:t>
      </w:r>
    </w:p>
    <w:p>
      <w:pPr>
        <w:pStyle w:val="Heading2"/>
      </w:pPr>
      <w:r>
        <w:t>Regeste</w:t>
      </w:r>
    </w:p>
    <w:p>
      <w:r>
        <w:t>HOSPITALISATION EXTRA-CANTONALE | 39 al. 1 LAMal, 39 al. 1 let. d LAMal, 39 al. 1 let. e LAMal, 41 al. 1bis LAMal, 41 al. 2 LAMal, 49 al. 1 LAMal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Vu le sort de leurs conclusions, les recourantes ne peuvent prétendre de dépens à la charge de l’intimé (art. 55 al. 1 LPA-VD). Elles supporteront par ailleurs les frais de justice fixés à 1600 fr. (art. 49 al. 1 LPA-VD et art. 4 al. 1 TFJDA [tarif du 28 avril 2015 des frais judiciaires et des dépens en matière administrative ; RSV 173.36.5.1], applicable en l’espèce [cf. art. 13 TFJDA]).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