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522 vom 16. August 2016</w:t>
      </w:r>
    </w:p>
    <w:p>
      <w:r>
        <w:t>VD Tribunal cantonal, 2016-08-16, FR</w:t>
      </w:r>
    </w:p>
    <w:p>
      <w:r>
        <w:rPr>
          <w:b/>
        </w:rPr>
        <w:t xml:space="preserve">Quelle: </w:t>
      </w:r>
      <w:r>
        <w:t>https://mcp.opencaselaw.ch/entscheid/vd_findinfo_Arr_t___2016___522</w:t>
      </w:r>
    </w:p>
    <w:p>
      <w:r>
        <w:t>FR: VD_FINDINFO Arrêt / 2016 / 522 du 16 août 2016</w:t>
      </w:r>
    </w:p>
    <w:p>
      <w:r>
        <w:t>IT: VD_FINDINFO Arrêt / 2016 / 522 del 16 agosto 2016</w:t>
      </w:r>
    </w:p>
    <w:p>
      <w:pPr>
        <w:pStyle w:val="Heading2"/>
      </w:pPr>
      <w:r>
        <w:t>Regeste</w:t>
      </w:r>
    </w:p>
    <w:p>
      <w:r>
        <w:t>AI{ASSURANCE}, RÉVISION{PRESTATION D'ASSURANCE}, RENTE D'INVALIDITÉ, FORCE PROBANTE, MESURE DE RÉADAPTATION{ASSURANCE SOCIALE}, DÉCISION DE RENVOI, PERSONNE ÂGÉE | 14a LAI, 28 LAI, 4 LAI, 17 al. 1 LPGA, 43 al. 1 LPGA, 8 al. 1 LPGA</w:t>
      </w:r>
    </w:p>
    <w:p>
      <w:pPr>
        <w:pStyle w:val="Heading2"/>
      </w:pPr>
      <w:r>
        <w:t>Erwägungen</w:t>
      </w:r>
    </w:p>
    <w:p>
      <w:r>
        <w:rPr>
          <w:b/>
        </w:rPr>
        <w:t>E. 8</w:t>
      </w:r>
    </w:p>
    <w:p>
      <w:r>
        <w:t>La recourante se prévaut encore de son âge proche de la retraite et considère applicable la jurisprudence selon laquelle ce facteur devient déterminant et nécessite une approche particulière de l’évaluation de l’invalidité. Selon le Tribunal fédéral,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9C_899/2015 du 4 mars 2016 consid. 4.3.1). Le Tribunal fédéral a considéré que le moment auquel la question de la mise en valeur de la capacité (résiduelle) de travail pour un assuré proche de l'âge de la retraite doit être examinée correspondait à celui où l'on constatait que l'exercice (partiel) d'une activité lucrative était exigible du point de vue médical, soit dès que les documents médicaux permettaient d'établir de manière fiable les faits y relatifs (ATF 138 V 457 consid. 3.3 et 3.4), dès lors qu'on ne pouvait, avant cette date, exiger de l'assuré la reprise d'une activité en fonction d'une éventuelle capacité résiduelle de travail dont il ne connaissait pas l'étendue. Le seuil à partir duquel on peut parler d'âge avancé se situe autour de 60 ans, même si la Haute Cour n'a pas fixé d'âge limite jusqu'à présent (ATF 138 V 457 ; TF 9C_695/2010 du 15 mars 2011 consid. 6.2 et réf. citées ; 9C_612/2007 du 14 juillet 2008 consid. 5.2). En l’occurrence, le moment déterminant s’avère être celui de l’expertise psychiatrique. Celle-ci date du 7 février 2011 et l’assurée n’avait pas encore 55 ans. Son âge n’était donc pas avancé au sens fixé par la jurisprudence précitée. Elle ne peut dès lors tirer aucun bénéfice de cette dernière.</w:t>
      </w:r>
    </w:p>
    <w:p>
      <w:r>
        <w:rPr>
          <w:b/>
        </w:rPr>
        <w:t>E. 9</w:t>
      </w:r>
    </w:p>
    <w:p>
      <w:r>
        <w:t>a) Au vu de ce qui précède et dans la mesure où la recourante a conclu principalement à l’allocation d’une rente entière de l’assurance-invalidité, son recours doit être partiellement admis. La décision attaquée est annulée, la cause étant renvoyée à l’intimé pour complément d’instruction au sens des considérants puis nouvelle décision. b) En dérogation à l’art. 61 let. a LPGA, la procédure de recours en matière de contestations portant sur l’octroi ou le refus de prestations de l’Al devant le Tribunal cantonal des assurances est soumise à des frais judiciaires (art. 69 al. 1bis LAI). En l’espèce, il convient d’arrêter les frais judiciaires à 400 fr. à la charge de l’intimé débouté. c) Obtenant gain de cause, la recourante, assistée d’une mandataire professionnelle, a droit à des dépens (art. 55 LPA-VD, applicable sur renvoi de l’art. 99 al. 1 LPA-VD). Leur montant doit être déterminé, sans égard à la valeur litigieuse, d’après l’importance et la complexité du litige (art. 61 let. g LPGA et art. 11 TFJDA [tarif des frais judiciaires et des dépens en matière administrative du 28 avril 2015 ; RSV 173.36.5.1]). En l’espèce, il convient de réduire le montant des dépens à 2000 fr. et de les mettre à la charge de l’intimé,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