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40 vom 10. Februar 2016</w:t>
      </w:r>
    </w:p>
    <w:p>
      <w:r>
        <w:t>VD Tribunal cantonal, 2016-02-10, FR</w:t>
      </w:r>
    </w:p>
    <w:p>
      <w:r>
        <w:rPr>
          <w:b/>
        </w:rPr>
        <w:t xml:space="preserve">Quelle: </w:t>
      </w:r>
      <w:r>
        <w:t>https://mcp.opencaselaw.ch/entscheid/vd_findinfo_Arr_t___2016___40</w:t>
      </w:r>
    </w:p>
    <w:p>
      <w:r>
        <w:t>FR: VD_FINDINFO Arrêt / 2016 / 40 du 10 février 2016</w:t>
      </w:r>
    </w:p>
    <w:p>
      <w:r>
        <w:t>IT: VD_FINDINFO Arrêt / 2016 / 40 del 10 febbraio 2016</w:t>
      </w:r>
    </w:p>
    <w:p>
      <w:pPr>
        <w:pStyle w:val="Heading2"/>
      </w:pPr>
      <w:r>
        <w:t>Regeste</w:t>
      </w:r>
    </w:p>
    <w:p>
      <w:r>
        <w:t>PHYSIOTHÉRAPEUTE, REMBOURSEMENT DE FRAIS{ASSURANCE}, CESSION DE CRÉANCE{CO}, DÉBITEUR DES HONORAIRES{AM}, LOI FÉDÉRALE SUR L'ASSURANCE-MALADIE, DÉCISION INCIDENTE, COMPÉTENCE RATIONE MATERIAE, TARIF{EN GÉNÉRAL}, DÉCISION D'IRRECEVABILITÉ | 89 LAMal, 25 LPA-VD, 74 al. 4 let. a LPA-VD, 75 LPA-VD</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prononce : I. Le recours est irrecevable. II. La cause est rayée du rôle. III. Il n’est pas perçu de frais judiciaires, ni alloué de dépens. La juge unique :               Le greffier : Du L'arrêt qui précède est notifié à : ‑ Me Jean-Louis Duc, avocat (pour P.________), ‑ Mutuel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