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338 vom 30. März 2016</w:t>
      </w:r>
    </w:p>
    <w:p>
      <w:r>
        <w:t>VD Tribunal cantonal, 2016-03-30, FR</w:t>
      </w:r>
    </w:p>
    <w:p>
      <w:r>
        <w:rPr>
          <w:b/>
        </w:rPr>
        <w:t xml:space="preserve">Quelle: </w:t>
      </w:r>
      <w:r>
        <w:t>https://mcp.opencaselaw.ch/entscheid/vd_findinfo_Arr_t___2016___338</w:t>
      </w:r>
    </w:p>
    <w:p>
      <w:r>
        <w:t>FR: VD_FINDINFO Arrêt / 2016 / 338 du 30 mars 2016</w:t>
      </w:r>
    </w:p>
    <w:p>
      <w:r>
        <w:t>IT: VD_FINDINFO Arrêt / 2016 / 338 del 30 marzo 2016</w:t>
      </w:r>
    </w:p>
    <w:p>
      <w:pPr>
        <w:pStyle w:val="Heading2"/>
      </w:pPr>
      <w:r>
        <w:t>Regeste</w:t>
      </w:r>
    </w:p>
    <w:p>
      <w:r>
        <w:t>ACCIDENT PROFESSIONNEL, ÉVALUATION DE L'ATTEINTE À LA SANTÉ, ÉVALUATION DE L'INCAPACITÉ DE TRAVAIL, ÉVALUATION DE L'INVALIDITÉ, ÉVALUATION MÉDICO-THÉORIQUE, ATTEINTE À LA SANTÉ PSYCHIQUE, LIEN DE CAUSALITÉ, CAUSALITÉ ADÉQUATE, CAUSALITÉ NATURELLE, INDEMNITÉ POUR ATTEINTE À L'INTÉGRITÉ | 16 al. 1 LAA, 18 al. 1 LAA, 19 al. 1 LAA, 24 LAA, 25 LAA, 6 al. 1 LAA, 16 LPGA, 4 LPGA, 7 LPGA, 8 LPGA, 22 al. 4 OLAA, 36 OLAA</w:t>
      </w:r>
    </w:p>
    <w:p>
      <w:pPr>
        <w:pStyle w:val="Heading2"/>
      </w:pPr>
      <w:r>
        <w:t>Erwägungen</w:t>
      </w:r>
    </w:p>
    <w:p>
      <w:r>
        <w:rPr>
          <w:b/>
        </w:rPr>
        <w:t>E. 10</w:t>
      </w:r>
    </w:p>
    <w:p>
      <w:r>
        <w:t>p. 28 consid. 4b; ATF 124 V 90 consid. 4b; 122 V 157 consid. 1d et référence citée). 5. 5.1. En l’espèce, l’intimée a considéré dans la décision attaquée que l’état de santé du recourant était stabilisé au plus tard dès le 25 juin 2010, date à laquelle elle a mis fin au paiement des soins médicaux et de l’indemnité journalière. Dans leur rapport du 31 mai 2010, les Dr T.________ et M.________ ont considéré que, sur le plan assécurologique, la situation semblait stabilisée, surtout par le fait qu’aucune mesure complémentaire d’ordre conservateur ou chirurgical susceptible de modifier de manière déterminante la situation constatée n’était envisagée. Cette opinion rejoignait celle émise par les Dr K.________ et P.________ de la X._________ qui relevaient dans leur rapport de sortie du 22 janvier 2010 que la situation médicale pouvait être considérée comme stabilisée. En se prévalant de la décision de l’OAI du 30 mai 2012, le recourant fait valoir que sa situation médicale n’aurait pas été stabilisée avant le 1 er décembre 2010. Il ne prend toutefois aucune conclusion tendant à la poursuite du paiement des soins médicaux ou des indemnités journalières. En outre, faute d’opposition déposée dans le délai légal, la décision de l’intimée du 25 juin 2010 mettant fin au paiement des soins médicaux et de l’indemnité journalière est entrée en force. On doit dès lors considérer du point de vue du droit de l’assurance-accidents que la situation médicale du recourant était stabilisée au plus tard dès le 25 juin 2010, date à laquelle le recourant a atteint le statu quo ante vel sine. Cette stabilisation est par ailleurs confirmée par les pièces médicales au dossier s’agissant de l’aspect purement orthopédique, qui, comme on le verra ci-dessous, est le seul qui soit en lien de causalité adéquate avec l’accident à l’origine de la prise en charge. 5.2. Il n’est pas douteux que les troubles orthopédiques du recourant en lien avec son pied droit sont en lien de causalité naturelle et adéquate avec l’accident du 2 novembre 2007. S’agissant des troubles au rachis, le recourant a d’abord déclaré, dans son mémoire de recours, qu’il renonçait à les faire valoir «dans la mesure de sa capacité résiduelle». Dans le cadre de la procédure administrative, le recourant a en effet échoué à rendre vraisemblable que ses troubles étaient en lien de causalité avec l’événement assuré. Ainsi, dans un rapport du 20 février 2013, le Dr D.________, qui a été consulté par le recourant, a exposé qu’il n’avait pas d’éléments suffisants pour ouvrir un dossier d’incapacité de travail en relation avec la pathologie rachidienne lombaire. Les troubles au rachis ont également fait l’objet d’une appréciation médicale du Dr C.________ du 11 septembre 2012, rédigée en langue allemande et non traduite. Selon cet expert, il n’y a que peu de données médicales crédibles, s’il en existe, pour admettre un lien entre une fracture du calcanéum et des douleurs lombaires. Il s’est en conséquence prononcé dans sa conclusion contre l’admission d’un lien de causalité entre les douleurs lombaires du recourant et les lésions subies à son pied droit suite à l’événement assuré. Les documents produits ultérieurement par le recourant ne permettent pas de mettre en doute ces conclusions. Le rapport du 31 octobre 2013 du Dr D.________ fait état de lombalgies préexistantes à l’accident. La symptomatologie douloureuse aurait été aggravée par le fait que le recourant doive marcher de manière systématique à l’aide de cannes anglaises depuis l’événement assuré. Toutefois, le Dr C.________ a exposé dans son rapport qu’il n’existait pas de donnée scientifique pour accréditer l’existence d’un lien de causalité entre ces deux occurrences. Pour le surplus, dans son rapport précité, le Dr D.________ ne met pas en évidence un tel lien de causalité mais estime que certaines limitations fonctionnelles sont les conséquences «associées» de la pathologie séquellaire du pied droit et de celle de la colonne vertébrale. L’emploi de l’adjectif séquellaire uniquement pour la pathologie du pied droit montre bien que ce médecin ne considère pas que la pathologie lombaire est en rapport avec l’événement accidentel du 2 novembre 2007. En conséquence, tout lien de causalité entre l’événement assuré et les troubles lombaires du recourant doit être écarté. Les limitations fonctionnelles à prendre en considération du point de vue de l’assurance-accidents sont donc uniquement celles qui sont liées à la problématique orthopédique indépendamment des troubles lombaires dont l’intimée n’a pas à répondre. 5.3. S’agissant des troubles psychiques, il faut d’abord relever que, du point de vue de la causalité naturelle, ils ne paraissent pas d’emblée sans rapport avec l’accident. Ainsi, dans leur rapport du 31 mai 2010, les Dr T.________ et M.________ estiment que «ces troubles psychiques sont en relation de causalité naturelle avec l’accident du 2 novembre 2007». Il n’y a pas de facteurs étrangers à l’accident qui peuvent expliquer leur survenue. Il convient donc d’examiner le degré de gravité de l’accident. Si l’on se réfère aux cas similaires traités par la jurisprudence, l’accident subi par le recourant le 2 novembre 2007 doit être classé dans la catégorie des accidents de gravité moyenne stricto sensu. Cela étant, il y a lieu d’examiner si les différents critères retenus par la jurisprudence pour admettre un lien de causalité adéquate avec d’éventuels troubles psychiques sont remplis en l’espèce. L’accident dont le recourant a été victime a eu lieu sur le site de la gare de [...]. Son pantalon est resté croché au moment où il tentait de raccorder deux wagons et un essieu du mouvement de manœuvre lui a roulé sur le talon du pied droit. L’accident était donc sérieux mais pas particulièrement impressionnant. En particulier, le recourant n’a pas été traîné par le wagon si bien qu’il n’a pas craint pour sa vie. Le recourant, qui n’a pas perdu connaissance, était sérieusement blessé mais sa blessure était clairement délimitée, seul le pied droit étant atteint. Les lésions physiques n’étaient donc pas selon le cours ordinaire des choses et l’expérience générale de la vie de nature à entraîner des troubles psychiques. Le traitement médical a nécessité plusieurs interventions singulièrement pour reconstituer le pied du recourant au moyen de plusieurs greffes de peau. Si le traitement s’est étendu sur plus de deux ans, il n’avait en revanche pas un caractère continu et n’entraînait pas d’effets secondaires particulièrement lourds à supporter. L’accident a entraîné pour le recourant des douleurs physiques persistantes au pied droit qui sont confirmées tant dans le rapport final de la CNA que dans l’expertise réalisée dans le cadre de la procédure d’assurance-invalidité. Aucune erreur dans le traitement médical ne peut être relevée. En outre, la blessure grave du recourant a pu être traitée sans complication majeure, même si les médecins ont constaté dans l’examen médical final que le traitement avait été «laborieux». Les médecins ont en outre constaté que le recourant avait recouvré une pleine capacité de travail dans une activité adaptée un peu plus de deux ans après l’accident. Au vu de l’analyse ci-dessus, l’on se doit de constater que seul un des critères posés par la jurisprudence est réuni en l’espèce. Or, s’agissant d’un accident de degré de gravité moyenne stricto sensu, il faut un cumul de trois critères sur les sept ou au moins que l'un des critères retenus se soit manifesté de manière particulièrement marquante pour l'accident (par. ex. TF, 8C_434/2013 du 7 mai 2014 consid. 7.1 et les arrêts cités). On notera en particulier que la survenance d'un accident de gravité moyenne présente toujours un certain caractère impressionnant pour la personne qui en est victime, ce qui ne suffit pas en soi à conduire à l'admission de ce critère (voir par comparaison TF, 8C_657/2013 du 3 juillet 2014 consid. 5.3). Partant, c’est à bon droit que la CNA n’a pas tenu compte des troubles psychiques du recourant dans la décision attaquée. 5.4. Sur la base des atteintes à la santé en lien de causalité avec l’événement assuré, l’intimée a retenu que le recourant conservait une capacité de travail entière pour déployer une activité légère, essentiellement en position assise toute la journée. Le recourant soutient pour sa part que compte tenu de ses empêchements il n’a plus aucune capacité de gain sur un marché du travail équilibré. Dans leur examen médical du 31 mai 2010, les Drs T.________ et M.________ ont retenu au titre de l’exigibilité une activité «purement sédentaire, sans nécessité de déplacement ou alors occasionnellement et seulement sur quelques mètres, sans déplacement dans les escaliers, sans nécessité de conduite». Le recourant allègue notamment qu’il doit continuer à effectuer tous ses déplacements avec deux cannes anglaises et non une seule comme le retient la décision attaquée. Cela étant, on ne voit pas en quoi cette circonstance serait de nature à l’empêcher d’exercer une activité essentiellement en position assise et qui n’implique pas de déplacement. Il n’y a donc pas de contradiction avec les limitations fonctionnelles retenues par l’intimée. Pour le surplus, le recourant fait valoir des limitations fonctionnelles résultant d’atteintes à la santé sans lien de causalité avec l’accident. Ainsi, le recourant soutient, en se fondant sur le rapport du Dr D.________ du 31 octobre 2013, qu’il ne peut rester en position assise mais doit au contraire alterner les positions pour soulager ses douleurs lombaires. Toutefois, cet élément est sans pertinence pour évaluer les limitations fonctionnelles dont doit répondre l’intimée soit celles qui sont en lien avec les atteintes à la santé consécutives à l’événement assuré et seulement celles-ci. Or, il apparaît que, sous l’angle orthopédique, le recourant conserve une pleine capacité de travail pour autant que l’activité exercée soulage entièrement le pied droit qui a pratiquement perdu toute utilité fonctionnelle suite à l’accident dont il a été victime. Ce constat correspond d’ailleurs à celui auquel les experts médicaux mis en œuvre dans le cadre de la procédure devant l’OAI sont parvenus. Dans leur rapport, les Dr F.________, H.________ et L.________ ont également considéré que, sur le plan strictement orthopédique, la capacité de travail du recourant était complète dans une activité adaptée, c’est-à-dire sans nécessité de déplacement ou occasionnellement sur quelques mètres et sans marche d’escaliers ou conduite de véhicule. L’OAI n’a admis une diminution de rendement, respectivement une incapacité de travail totale, qu’en raison des troubles psychiques qui ne sont pas en lien de causalité adéquate avec l’événement assuré. Au vu de ce qui précède, il y a lieu de retenir que le recourant a une capacité de travail entière dans une activité adaptée aux limitations fonctionnelles résultant des séquelles en lien de causalité avec l’événement assuré. 5.5. Sur le plan médical, le dossier est complet, permettant ainsi à la Cour de statuer en pleine connaissance de cause. Un complément d’instruction apparaît inutile et la requête d’expertise du recourant ainsi que celle tendant à l’audition de témoins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cf. TF 9C_748/2013 du 10 février 2014). 6.1. En vertu de l'art. 18 al. 1 LAA, si l'assuré est invalide à 10% au moins par suite d'un accident, il a droit à une rente d'invalidité.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6.2.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de plus, il n'y a incapacité de gain que si celle-ci n'est pas objectivement surmontable (art. 7 al. 2 LPGA). On rappellera en outre que la notion d'invalidité est, en principe, identique en matière d'assurance-accidents, d'assurance-invalidité et d'assurance militaire. Cela impose une certaine coordination aux institutions d'assurance, qui doivent en principe retenir un même taux d'invalidité pour une même atteinte à la santé.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Peuvent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consid. 3; TFA I 853/05 du 28 décembre 2006 consid. 4.1.1).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du 18 mars 2013 consid. 3.4). 6.3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TF 9C_195/2010 du 16 août 2010 consid. 6.2; cf. Frésard/Moser-Szeless, op. cit., n° 165 pp. 898-899). Pour procéder à la comparaison des revenus, il convient de se placer au moment de la naissance du droit éventuel à la rente (ATF 129 V 222; TF 9C_254/2010 du 29 octobre 2010 consid. 4.2). 6.4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TF 9C_651/2008 du 9 octobre 2009 consid. 6.1.2.1). En l’espèce, l’intimée s’est fondée sur les déclarations de salaire fournies par l’employeur conformément à l’art. 22 al. 4 OAA pour retenir un revenu mensuel, part au 13 ème salaire comprise, de 6'880 francs. Le recourant soutient que la valeur d’un abonnement général R._________ ainsi qu’un montant forfaitaire pour compenser la perte d’un tarif avantageux sur les produits de la boutique des R._________ devraient être ajoutés à ce montant. Toutefois, il n’apporte pas la preuve que ces avantages en nature aient été considérés par l’employeur ou par les autorités comme un élément du salaire. C’est à tout le moins douteux pour le rabais sur les articles de la boutique R._________ dans la mesure où il ne s’agit à l’évidence pas d’une prestation régulière. Au vu de ce qui précède, c’est à juste titre que l’intimée a fixé le revenu avant invalidité à 6'880 francs. 6.5. Pour fixer le revenu d’invalide, il convient de se fonder sur un revenu hypothétique lorsque – comme en l’espèce – l’assuré ne met pas à profit sa capacité de travail après l’accident (cf. Frésard/Moser-Szeless, op. cit., n° 170 p. 899). Dans ce cas, la jurisprudence considère que le revenu d’invalide peut être évalué sur la base des données salariales publiées par l’Office fédéral de la statistique dans l’Enquête suisse sur la structure des salaires (ESS) (cf. ATF 129 V 472 consid. 4.2.1 et 126 V 75 consid. 3b/aa avec les références citées; cf. TF 9C_900/2009 du 27 avril 2010 consid. 3.3; cf. Frésard/Moser-Szeless, op. cit., n° 171 s. p. 900), ou en fonction des données salariales résultant des DPT établies par la CNA (cf.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(cf. ATF 129 V 472 consid. 4.2; cf. Frésard/Moser-Szeless, op. cit., n° 176 p. 901).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cf.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Il s’agit d’assurer une certaine représentativité des DPT produites et de garantir le respect du droit d’être entendu du recourant (cf. ATF 129 V 472 consid. 4.2.2; cf. TF 8C_809/2008 précité consid.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cf. TF 8C_715/2008 du 16 mars 2009 consid. 4.3). En l'occurrence, la CNA s’est fondée sur des descriptions de postes de travail figurant au dossier. Le recourant, qui n’a pas repris d’activité lucrative depuis l’accident dont il a été victime, se prévaut du degré d’invalidité plus favorable retenu par l’OAI dans sa décision du 30 mai 2012 sur la base des données statistiques de l’enquête suisse sur les salaires, soit 48% sans tenir compte des limitations psychiques justifiant une diminution de rendement de 20%. Conformément à la jurisprudence rappelée ci-dessus (consid. 6.2.), l’évaluation de l’invalidité par les organes de l’assurance-invalidité n’a pas de force contraignante pour l’assureur-accidents (ATF 131 V 362). On ne peut donc simplement se référer au degré d’invalidité retenu par l’OAI mais il convient bien plutôt d’examiner si l’évaluation à laquelle a procédé l’intimée est conforme au droit fédéral (TF 9C_813/2012 du 18 mars 2013, consid. 3.4.). En l’occurrence, la CNA a listé plus d’une centaine de DPT et en a sélectionné cinq, à savoir trois comme collaborateur de production, une comme employé de bureau et une comme fabricant d’instruments de mesure. Or, il apparaît que le poste d’employé de bureau ne répond aux qualifications du recourant. Selon le descriptif, il s’agit de saisir au sein d’une entreprise active dans la vente de produits sidérurgiques des bulletins de préparation sur informatique afin de les transformer en bulletins de livraison. L’employé peut en outre être amené à chercher ces bulletins dans les halles, ce qui peut représenter de 1 à 4 déplacements par jour sur 500 mètres aller-retour. Or, de nationalité kosovare, le recourant, bien qu’établi en Suisse depuis 1983, a une maîtrise très partielle du français dans la mesure où il ressort du dossier qu’il a besoin de son fils pour les démarches administratives. Il n’y a en outre aucun élément laissant apparaître qu’il dispose de connaissances informatiques. Enfin, les déplacements nécessités par ce poste ne sont pas en adéquation avec son handicap. Pour le surplus, les DPT retenues par l’intimée sont compatibles avec l’état de santé du recourant, dans la mesure où elles n’impliquent pas de déplacement ni de marche dans les escaliers et permettent d’alterner les positions debout et assise. Cela étant, le nombre des DPT que l’on peut retenir s’avère donc inférieure au seuil de cinq fixé par la jurisprudence précitée. Force est en outre de constater que le revenu d’invalide résultant des DPT sélectionnées par l’intimée (4'900 fr.) ne tient pas adéquatement compte de l’ensemble des circonstances personnelles et professionnelles du cas particulier. En matière LAA, il est possible, mais non impératif, de recourir aux statistiques salariales (ESS) pour déterminer le revenu d’invalide dans le cas où l’assuré n’a repris aucune activité lucrative ou une activité ne correspondant pas à l’exigibilité (ATF 135 V 297 consid. 5.2). Dans un tel cas, on se réfère alors à la statistique des salaires bruts standardisés, en se fondant toujours sur la médiane ou valeur centrale (ATF 124 V 323 consid. 3b/bb; TF I 7/2006 du 12 janvier 2007 consid. 5.2; Pratique VSI 1999 p. 182).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134 V 322 consid. 5.2; 126 V 75 consid. 5b/aa-cc; TF 9C_704/2008 du 6 février 2009 consid. 3). Dans le cas d’espèce, le salaire de référence pour des hommes effectuant des activités simples et répétitives était, en 2008 (ESS 2012; tableau TA1, niveau de qualification 4, disponible sur le site Internet de l’Office fédéral de la statistique : www.bfs.admin.ch), de 4’806 fr. par mois, part au treizième salaire comprise. En tenant compte de la durée hebdomadaire de travail dans les entreprises en 2008 (41.6 heures; La Vie économique, 10-2006, p. 90, tableau B 9.2), ce montant doit être porté à 4'998 fr. 25, correspondant à un salaire annuel de 59'978 fr. 88. Après adaptation de ce chiffre à l’évolution des salaires nominaux de 2008 à 2009 (+ 2.1%; La Vie économique, 10-2006, p. 91, tableau B 10.2), on obtient un revenu annuel de 61'238 fr. 45. On observe que, dans sa décision du 30 mai 2012 retenant les chiffres ci-dessus, l’OAI a tenu compte d’une diminution de rendement de 20% due aux atteintes psychiques. Dans le cadre de l’assurance-accidents, il n’y a pas lieu de retenir cette diminution, faute de lien de causalité avec l’événement assuré. Cela étant, il y a lieu de retenir un abattement sur le revenu d’invalidité qu’aurait pu réaliser le recourant. Au moment où la décision litigieuse a été rendue, le recourant était âgé de 54 ans; il s’agit en outre d’un travailleur sans formation, de nationalité étrangère et s’exprimant difficilement en français, et qui a œuvré pendant dix-sept ans en tant que manœuvre pour le compte des R._________. Compte tenu de l'ensemble des circonstances, on doit admettre qu’un taux de 15% tel qu’il avait été retenu par l’OAI est approprié. Si le recourant est encore éloigné du seuil à partir duquel le Tribunal fédéral reconnaît généralement que le facteur de l’âge devient déterminant et nécessite une approche particulière (TF 9C_652/2014 du 20 janvier 2015 consid. 4.2 et les références), force est de reconnaître que les autres éléments relatifs à ses circonstances personnelles et professionnelles sont de nature à diminuer ses possibilités de revenu sur un marché de travail équilibré. Si l’on applique le taux d’abattement de 15% au revenu de 61'238 fr. 45, on obtient un revenu d’invalide de 52'052 fr. 70. Comparé au revenu sans invalidité de 80'160 fr. (soit 6'680 x 12), il s’ensuit une perte de gain de 28'107 fr. 30, d’où un taux d’invalidité de 35.06%, qui doit être arrondi à 35%. 6.6. En définitive, il y a donc lieu de retenir le résultat de la méthode fondée sur les statistiques salariales qui tient mieux compte des circonstances personnelles et professionnelles du cas particulier et se rapproche donc en l’occurrence plus exactement d’une évaluation concrète du revenu d’invalidité. La décision doit donc être réformée sur ce point, l’intimée étant chargée de calculer à nouveau le montant de la rente d’invalidité à laquelle a droit le recourant dès le 1 er août 2010 en se fondant sur un taux d’invalidité de 35%. 7. En dernier lieu, il s’impose d’examiner la quotité de l'indemnité équitable pour atteinte à l'intégrité (IPAI) octroyée par la CNA, à concurrence d’un taux de 30% alors que le recourant prétend avoir droit à une indemnité de 45% au moins. 7.1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TFA U 105/03 du 23 décembre 2003 consid. 5.2 in : RAMA 2004 n° U 508 p. 265).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7.2 Faisant notamment usage d'une délégation de compétence prévue à l'art. 25 al. 2 LAA, le Conseil fédéral a édicté l'art. 36 OLAA (ordonnance du 20 décembre 1982 sur l'assurance-accidents; RS 832.202). Selon l'alinéa 2 de cette disposition réglementaire, l'indemnité pour atteinte à l'intégrité est calculée selon les directives figurant à l'annexe 3 OLAA. Cette annexe comporte un barème – reconnu conforme à la loi et non exhaustif (ATF 124 V 29 consid. 1b; 124 V 209 consid. 4a/bb;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TF 8C_459/2008 du 4 février 2009 consid. 2.1). 7.3 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7.4 En l’occurrence, l’intimée s’est fondée sur le barème figurant à l’annexe 3 OLAA fixant à 30% l’indemnité allouée pour la perte d’un pied. L’intimée a donc considéré à juste titre que le recourant avait complètement perdu l’usage de son pied droit. Pour le surplus, il n’y a pas lieu d’allouer au recourant une indemnité supplémentaire du fait du prélèvement des chairs destinés à la reconstitution du pied lésé ainsi qu’aux problèmes cutanés liés aux greffes dans la mesure où le taux de 30% vient déjà compenser entièrement la perte de cet organe. Quant aux autres troubles que fait valoir le recourant, ils ne sont, comme exposé ci-dessus, pas en lien de causalité avec l’événement accidentel si bien qu’il n’y a pas lieu de les prendre en compte pour la fixation de l’indemnité pour atteinte à l’intégrité corporelle. La décision attaquée doit donc être confirmée dans la mesure où elle fixe à 30% l’atteinte à l’intégrité corporelle pour les séquelles cliniques engageant la responsabilité de l’intimée. 8. Il résulte de l’ensemble des éléments qui précèdent que le recours doit être partiellement admis s’agissant du taux d’invalidité et rejeté pour le surplus. Le présent arrêt est rendu sans frais, la procédure étant gratuite (cf. art. 61 let. a LPGA; 45 LPA-VD). Obtenant partiellement gain de cause en étant assisté d’un mandataire professionnel, le recourant a droit à des dépens réduits, qu’il convient de fixer, au vu de l’importance et de la complexité du litige, à 1'500 fr. à la charge de l’intimé, qui succombe (art. 61 let. g LPGA;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