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2016 / 274 vom 11. Mai 2016</w:t>
      </w:r>
    </w:p>
    <w:p>
      <w:r>
        <w:t>VD Tribunal cantonal, 2016-05-11, FR</w:t>
      </w:r>
    </w:p>
    <w:p>
      <w:r>
        <w:rPr>
          <w:b/>
        </w:rPr>
        <w:t xml:space="preserve">Quelle: </w:t>
      </w:r>
      <w:r>
        <w:t>https://mcp.opencaselaw.ch/entscheid/vd_findinfo_Arr_t___2016___274</w:t>
      </w:r>
    </w:p>
    <w:p>
      <w:r>
        <w:t>FR: VD_FINDINFO Arrêt / 2016 / 274 du 11 mai 2016</w:t>
      </w:r>
    </w:p>
    <w:p>
      <w:r>
        <w:t>IT: VD_FINDINFO Arrêt / 2016 / 274 del 11 maggio 2016</w:t>
      </w:r>
    </w:p>
    <w:p>
      <w:pPr>
        <w:pStyle w:val="Heading2"/>
      </w:pPr>
      <w:r>
        <w:t>Regeste</w:t>
      </w:r>
    </w:p>
    <w:p>
      <w:r>
        <w:t>DÉCISION DE RENVOI, SOCIÉTÉ À RESPONSABILITÉ LIMITÉE, RESPONSABILITÉ DE L'EMPLOYEUR{AVS}, COTISATION DE L'EMPLOYEUR, SURVENANCE DU DOMMAGE, CONSTATATION DES FAITS, MESURE D'INSTRUCTION{ASSURANCE SOCIALE} | 52 LAVS, 43 al. 1 LPGA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Il n'y a pas lieu de percevoir de frais de justice, la procédure étant en principe gratuite (art. 61 let. a LPGA). Le recourant, qui obtient gain de cause avec le concours d'un mandataire, a droit à une indemnité de dépens, dont le montant doit être déterminé d'après l'importance et la complexité du litige (art. 61 let. g LPGA; cf. également art. 11 al. 2 TFJDA [tarif cantonal vaudois du 28 avril 2015 des frais judiciaires et des dépens en matière administrative; RSV 173.36.5.1]). En l'espèce, il y a lieu d'arrêter le montant des dépens à 1'500 fr. à la charge de l'intimée, qui succombe (art. 55 al. 2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