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237 vom 10. März 2016</w:t>
      </w:r>
    </w:p>
    <w:p>
      <w:r>
        <w:t>VD Tribunal cantonal, 2016-03-10, FR</w:t>
      </w:r>
    </w:p>
    <w:p>
      <w:r>
        <w:rPr>
          <w:b/>
        </w:rPr>
        <w:t xml:space="preserve">Quelle: </w:t>
      </w:r>
      <w:r>
        <w:t>https://mcp.opencaselaw.ch/entscheid/vd_findinfo_Arr_t___2016___237</w:t>
      </w:r>
    </w:p>
    <w:p>
      <w:r>
        <w:t>FR: VD_FINDINFO Arrêt / 2016 / 237 du 10 mars 2016</w:t>
      </w:r>
    </w:p>
    <w:p>
      <w:r>
        <w:t>IT: VD_FINDINFO Arrêt / 2016 / 237 del 10 marzo 2016</w:t>
      </w:r>
    </w:p>
    <w:p>
      <w:pPr>
        <w:pStyle w:val="Heading2"/>
      </w:pPr>
      <w:r>
        <w:t>Regeste</w:t>
      </w:r>
    </w:p>
    <w:p>
      <w:r>
        <w:t>DÉCISION DE COTISATIONS ARRIÉRÉES, ACTIVITÉ LUCRATIVE DÉPENDANTE | 14 al. 1 LAVS, 16 al. 1 LAVS, 4 al. 1 LAVS, 5 al. 2 LAVS, 9 al. 1 LAVS</w:t>
      </w:r>
    </w:p>
    <w:p>
      <w:pPr>
        <w:pStyle w:val="Heading2"/>
      </w:pPr>
      <w:r>
        <w:t>Erwägungen</w:t>
      </w:r>
    </w:p>
    <w:p>
      <w:r>
        <w:rPr>
          <w:b/>
        </w:rPr>
        <w:t>E. 3</w:t>
      </w:r>
    </w:p>
    <w:p>
      <w:r>
        <w:t>a) Les cotisations des assurés qui exercent une activité lucrative sont calculées en pour-cent du revenu provenant de l'exercice de l'activité dépendante et indépendante (art. 4 al. 1 LAVS). En vertu de l'art. 14 al. 1 LAVS, en corrélation avec les art. 34 ss RAVS (règlement du 31 octobre 1947 sur l'assurance-vieillesse et survivants; RS 831.101), l'employeur doit déduire, lors de chaque paie, la cotisation du salarié et verser celle-ci à la caisse de Compensation en même temps que sa propre cotisation (voir également l'art. 51 al. 1 LAVS). b)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Est considéré comme salaire déterminant toute rétribution pour un travail dépendant effectué dans un temps déterminé ou indéterminé (art. 5 al. 2 LAVS) ;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(ATFA non publié du 19 mai 2006, H 6/05, consid. 2.2 ;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niai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c) Selon l'art. 5 al. 2 LAVS,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et les arrêts cités; voir aussi, Paul Cadotsch, Wird der AHV-massgebende Lohn durch die Auszahl-und Zahladresse beeinflusst?, RSAS 2009 p. 5 ss) (TF 9C_824/2008 du 6 mars 2009 consid. 5). d) La dette de cotisations prend naissance à la date à laquelle le salaire déterminant a été réalisé (ATF 115 V 163 consid. 4; 111 V 166 consid. 4a et les références; RCC 1989 p. 317 consid. 3c, 1985 p. 43 consid. 3a). D'après les principes généraux de droit fiscal auxquels il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(RDAF 2003 II 626 consid. 3.2.1 et les références; voir également Walter Ryser/Bernard Rolli, Précis de droit fiscal suisse, 4e éd., 161 ss; Xavier Oberson, Droit fiscal suisse, 2e éd., n. 12, p. 80; Peter Locher, Kommentar zum DBG, 1ère partie, n. 18 ss ad art. 16; Jean-Marc Rivier, Droit fiscal suisse, L'imposition du revenu et de la fortune, 2e éd., p. 326 ss; Markus Reich, in : Martin Zweifel/Peter Athanas, Kommentar zum schweizerischen Steuerrecht, I/2a, Bundesgesetz über die direkte Bundessteuer (DBG) Art 1-82, n. 33 ss ad. 16). Il a été jugé, en matière de responsabilité au sens de l'art. 52 LAVS, que le revenu doit être considéré comme réalisé au moment du paiement, du virement au compte de chèque ou en banque du salaire. Si celui-ci n'est exceptionnellement pas versé mais est acquis par une inscription dans les livres comptables au crédit du compte du salarié ou par compensation avec une contre-prestation, il y a lieu de présumer que le moment de la réalisation est identique à celui auquel le montant a été porté au crédit ou compensé (ATFA 1957 p. 36 consid. 2 et 125 consid. 2; Hans-Peter Käser, Unterstellung und Beitragswesen in der obligatorischen AHV, 2ème éd., Berne 1996, p. 112 ch. 4.9; Greber/Duc/Scartazzini, Commentaire des articles 1 à 16 de la loi fédérale sur l'assurance-vieillesse et survivants (LAVS), Bâle 1996, p. 156, n. 17 ad art. 5). Demeurent réservés les cas où la preuve est rapportée que l'inscription correspond à une simple expectative. On se trouve dans un tel cas de figure lorsque la situation financière de l'employeur au moment où le salaire a été comptabilisé est très mauvaise et que le paiement des salaires portés en compte dépend de la situation ultérieure de l'entreprise (RCC 1976 p. 88 consid. 2). L'opération consistant à porter au crédit du bénéficiaire une certaine somme doit ainsi être réalisable (Käser, op. cit., p. 113, ch. 4.9). De jurisprudence constante, c'est le jour de la réalisation du revenu déterminant qui marque celui de la naissance de la créance de cotisations. Ce n'est en effet qu'à partir de ce moment bien précis, moment où l'employeur doit d'ailleurs déduire du salaire les cotisations dues (art. 14 al. 1 LAVS), que la créance de cotisations devient exigible et que la caisse de compensation peut en prétendre le paiement. Aussi longtemps qu'un revenu n'a pas été réalisé au sens de la jurisprudence, la caisse ne dispose d'aucune créance à l'égard de l'employeur (cf. TFA H 111/04 du 5 avril 2006 consid. 5.3).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3.2</w:t>
      </w:r>
    </w:p>
    <w:p>
      <w:r>
        <w:t>et 3.3; 126 V 353 consid. 5b; 125 V 193 consid. 2). Aussi n'existe-t-il pas, en droit des assurances sociales, un principe selon lequel l'administration ou le juge devrait statuer, dans le doute, en faveur de l'assuré (ATF 126 V 319 consid. 5a).</w:t>
      </w:r>
    </w:p>
    <w:p>
      <w:r>
        <w:rPr>
          <w:b/>
        </w:rPr>
        <w:t>E. 4</w:t>
      </w:r>
    </w:p>
    <w:p>
      <w:r>
        <w:t>En l'espèce, l'intimée a considéré suite au contrôle d'employeur effectué le 11 février 2014 que B.________, pendant la période du 1 er septembre 2009 au 31 décembre 2009, et A.____________, pendant la période du 1 er janvier 2009 au 31 décembre 2009, avaient exercé une activité lucrative dépendante pour le compte de la recourante. Il ressort d'abord des pièces du dossier que B.________ avait annoncé la fin de son affiliation à la caisse de compensation des entrepreneurs en tant qu'indépendant pour le 31 août 2009. Quant à l'affiliation en tant qu'indépendant d'A.____________ auprès de cette institution, elle a pris fin le 31 décembre 2008. Pour la période de septembre à décembre 2009, B.________ a perçu de la part de la recourante un montant qui s'élève à 26'900 fr. en contrepartie des travaux effectués, ce qui correspondait à une moyenne mensuelle de 6'725 francs. Il se trouvait donc dans un rapport de dépendance économique vis-à-vis de la recourante. Il n'a en outre pas exercé son activité lucrative en son nom propre et à son propre compte. A cela s'ajoute encore que B.________ a été engagé par la recourante en qualité de manœuvre dès le 1 er janvier 2010. Quant à A.____________, il a perçu un montant de 76'400 fr. pendant l'année 2009, ce qui correspond à une moyenne mensuelle de 6'366 francs. Il se trouvait aussi dans une dépendance économique vis-à-vis de la recourante. Il n'a en outre pas exercé son activité lucrative en son nom propre et à son propre compte. A cela s'ajoute que les factures établies par A.____________, elles ne font référence qu'à un nombre d'heures effectuées multipliées par un tarif horaire, ce qui est caractéristique d'une activité dépendante. Il n'y a en outre aucun indice qu'A.____________ ait déployé son activité pour le compte d'autres personnes que la recourante. Pour le surplus, la recourante n'a soulevé aucun argument contestant le caractère dépendant de l'activité exercée par B.________. S'agissant de celle exercée par A.____________, il convient de relever avec l'intimée que le fait que son inscription au registre du commerce du Canton de Vaud en tant qu'indépendant n'ait pas été radiée revêt uniquement un caractère déclaratif. Les garanties que cette personne aurait fournies à la recourante quant à son statut d'indépendant ne jouent pour le surplus aucun rôle dans la qualification juridique de son activité. Peu importe également pour résoudre le présent litige de savoir si et dans quelle mesure la recourante dispose d'une créance en remboursement des cotisations litigieuses à l'égard des deux personnes concernées. Au stade de la vraisemblance prépondérante, il ressort donc manifestement de l'examen des pièces au dossier que l'activité exercée par B.________ et A.____________ pour le compte de la recourante pendant l'année 2009 doit être qualifiée de dépendante. Partant, c'est à bon droit que l'intimée a décidé de prélever des cotisations sociales sur le montant de 103'300 fr. versé à titre de revenu par la recourante à ces deux personnes. Enfin, les cotisations litigieuses se rapportent aux revenus réalisés par des employés de la recourante en 2009. Dès lors, le délai de prescription de l'art. 16 al. 1 première phrase LAVS échoyait le 31 décembre 2014, soit cinq ans à compter de la fin de l'année civile pour laquelle elles étaient dues. La créance de l'intimée n'était donc pas périmée lorsqu'elle a rendu la décision du 25 avril 2014. Pour le surplus, la décision de cotisations du 25 avril 2014 n'apparaît pas criti quable si bien qu'elle doit être entièrement confirmée. On relève encore qu'il appartiendra cas échéant à la recourante de solliciter de l'intimée un sursis au paiement pour régler le solde de sa dette par le versement d'acomptes réguliers, étant précisé qu'il lui appartiendra également de démontrer que les conditions prévues par l'art. 34b RAVS pour ce faire sont remplies.</w:t>
      </w:r>
    </w:p>
    <w:p>
      <w:r>
        <w:rPr>
          <w:b/>
        </w:rPr>
        <w:t>E. 5</w:t>
      </w:r>
    </w:p>
    <w:p>
      <w:r>
        <w:t>En définitive, le recours, mal fondé, doit être rejeté, ce qui entraîne la confirmation de la décision sur opposition querellée. Il n'y a pas lieu de percevoir de frais judiciaires, dès lors que la procédure est gratuite (art. 61 let. a LPGA), ni d'allouer de dépens à la recourante, qui voit ses conclusions rejetées (art. 61 let. g LPGA et 55 LPA-VD). Par ces motifs, le juge unique prononce : I. Le recours est rejeté. II. Il n’est pas perçu de frais judiciaires ni alloué de dépens. Le juge unique :               Le greffier : Du L'arrêt qui précède est notifié à : ‑ W.________, ‑ G.________,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