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209 vom 23. Februar 2016</w:t>
      </w:r>
    </w:p>
    <w:p>
      <w:r>
        <w:t>VD Tribunal cantonal, 2016-02-23, FR</w:t>
      </w:r>
    </w:p>
    <w:p>
      <w:r>
        <w:rPr>
          <w:b/>
        </w:rPr>
        <w:t xml:space="preserve">Quelle: </w:t>
      </w:r>
      <w:r>
        <w:t>https://mcp.opencaselaw.ch/entscheid/vd_findinfo_Arr_t___2016___209</w:t>
      </w:r>
    </w:p>
    <w:p>
      <w:r>
        <w:t>FR: VD_FINDINFO Arrêt / 2016 / 209 du 23 février 2016</w:t>
      </w:r>
    </w:p>
    <w:p>
      <w:r>
        <w:t>IT: VD_FINDINFO Arrêt / 2016 / 209 del 23 febbraio 2016</w:t>
      </w:r>
    </w:p>
    <w:p>
      <w:pPr>
        <w:pStyle w:val="Heading2"/>
      </w:pPr>
      <w:r>
        <w:t>Regeste</w:t>
      </w:r>
    </w:p>
    <w:p>
      <w:r>
        <w:t>CURATELLE, CURATELLE DE GESTION, CURATELLE DE REPRÉSENTATION, NULLITÉ | 393 CC, 394 al. 1 CC, 395 al. 1 CC, 450 CC</w:t>
      </w:r>
    </w:p>
    <w:p>
      <w:pPr>
        <w:pStyle w:val="Heading2"/>
      </w:pPr>
      <w:r>
        <w:t>Erwägungen</w:t>
      </w:r>
    </w:p>
    <w:p>
      <w:r>
        <w:rPr>
          <w:b/>
        </w:rPr>
        <w:t>E. 1</w:t>
      </w:r>
    </w:p>
    <w:p>
      <w:r>
        <w:t>CC en faveur de P.________.</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 e éd., Bâle 2014, n. 42 ad art. 450 CC, p. 2624). L'autorité de recours doit néanmoins pouvoir comprendre ce qui est reproché au premier juge sans avoir à rechercher des griefs par elle-même, ce qui exige une certaine précision dans l'énoncé et la discussion des critiques formulées (Jeandin, CPC commenté, Bâle 2011, n. 3 ad art. 311 CPC, p. 1251 par analogie). Un recours est suffisamment motivé lorsque l’on peut déterminer l’objet du recours et déduire de ce dernier pourquoi le recourant est opposé à tout ou partie de la décision rendue (Steck, Commentaire du droit de la famille [CommFam], Protection de l’adulte, Berne 2013, n. 3.1 ad art. 450 CC, p. 782).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n. 12.39, p. 290). Conformément à l'art. 450d CC, la Chambre des curatelles donne à la justice de paix (art.</w:t>
      </w:r>
    </w:p>
    <w:p>
      <w:r>
        <w:rPr>
          <w:b/>
        </w:rPr>
        <w:t>E. 1.2</w:t>
      </w:r>
    </w:p>
    <w:p>
      <w:r>
        <w:t>En l’espèce, le recours a été interjeté en temps utile par la personne concernée. Dans son acte de recours, P.________ requiert l’institution d’une « curatelle administrative ». Dès lors qu’elle se réfère à la demande de son médecin, laquelle préconisait l’institution d’une curatelle d’accompagnement, on comprend que son recours tend au prononcé d’une telle curatelle. Il est par conséquent recevable. Il en va de même des pièces produites en deuxième instance, si tant est qu’elles ne figurent pas déjà au dossier. L’autorité de protection a été consultée conformément à l’art. 450d al. 1 CC.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2.2 La procédure devant l’autorité de protection est régie par les art. 443 ss CC. Les personnes concernées doivent être entendues personnellement, à moins que l’audition ne paraisse disproportionnée (art. 447 al. 1 CC). En l’espèce, le juge de paix a procédé à l’audition de la personne concernée à son audience du 1 er octobre 2015, de sorte que son droit d’être entendu a été respecté. La décision entreprise est donc formellement correcte et peut être examinée sur le fond. 3. La recourante conteste la mesure de curatelle de représentation et de gestion instituée en sa faveur et requiert l’institution d’une curatelle d’accompagnement. 3.1 Les conditions matérielles de l’art. 390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Introduction au nouveau droit de la protection de l'adulte, 2011, n. 397, p. 190). La loi prévoit ainsi trois causes alternatives, à savoir la déficience mentale, les troubles psychiques ou tout autre état de faiblesse qui affecte la condition de la personne concernée. En particulier, l'expression "troubles psychiques", qui doit être comprise dans son acception large (Meier/Lukic, op. cit., nn. 398 et 401, pp. 190 ss), vise toutes les pathologies mentales reconnues en psychiatrie, soit celles qui sont d'origine physique (exogènes, organiques, symptomatiques) et celles qui ne le sont pas (endogènes : psychoses, psychopathies pouvant avoir des causes physiques, démences comme la démence sénile), ainsi que les dépendances comme la toxicomanie, l'alcoolisme et la pharmacodépendance (Meier, CommFam, nn. 9 ss ad art. 390 CC, p. 385 ; Meier/Lukic, op. cit., nn. 400 ss, p. 191 ; Guide pratique COPMA, n. 5.9, p. 37). Quant à l’état de faiblesse, il s’agit d’une formulation large, qui permet d’englober tous les handicaps physiques, les déficiences liées à l’âge et les cas extrêmes d’inexpérience ou de mauvaise gestion (Meier/Lukic, op. cit., n. 404, p. 192). La notion de faiblesse doit plutôt se fonder sur l’origine même de la faiblesse de l’intéressé que résulter des circonstances extérieures (Meier, CommFam, n. 16 ad art. 390 CC, p. 387). 3.2 Selon l’art. 393 al. 1 CC, une curatelle d’accompagnement est instituée, avec le consentement de la personne qui a besoin d’aide, lorsque celle-ci doit être assistée pour accomplir certains actes. Inspirée de la curatelle volontaire de l’ancien droit (art. 394 aCC ; Message du 28 juin 2006 concernant la révision du Code civil suisse [Protection des personnes, droit des personnes et droit de la filiation], Feuille fédérale [FF] 2006, pp. 6635 ss, spéc. p. 6678), elle ne peut être instituée que si les conditions matérielles de l’art. 390 CC sont réalisées et que la personne concernée a consenti à la mesure (cf. TF 5A_702/2013 du 10 décembre 2013 consid. 4.4, non publié in ATF 140 III 49 mais résumé in Revue de la protection des mineurs et des adultes [RMA] 2014, p. 133 ; Meier, CommFam, nn. 6 et 7 ad art. 393 CC, pp. 424).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(Guide pratique COPMA, nn. 5.23 et 5.25, p. 143 ; Meier, CommFam, nn. 17, 18, 20 ad art. 393 CC, pp. 428 ss).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(art. 395 al. 1 CC). Elle peut soumettre à la gestion tout ou partie des revenus ou de la fortune, ou l’ensemble des biens (art. 395 al. 1 CC). La curatelle de gestion constitue une forme spéciale de curatelle de représentation et non une mesure de protection distincte (Meier/Lukic, op. cit., n. 460, p. 215).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nn. 472 ss, p. 219).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(cf. art. 395 al. 1 in fine CC). Lorsqu’elle détermine les biens sur lesquels portent les pouvoirs du curateur, l’autorité de protection doit tenir compte des besoins de la personne concernée, en application du principe général de l’art. 391 al. 1 CC (TF 5A_540/2013 du 3 décembre 2013 consid. 5.1.1).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 ATF 140 III 49 consid. 4.3, JdT 2014 II 331) . Il résulte de ce qui précède que la curatelle d’accompagnement, comme mesure de protection la plus légère, a pour but d’assurer le soutien de la personne concernée pour régler certaines affaires. En revanche, il y aura lieu d’ordonner une curatelle de représentation lorsque la personne concernée ne peut pas régler elle-même certaines affaires et doit donc être représentée. Conformément au principe de proportionnalité, il n’y a pas lieu d’ordonner une curatelle de représentation et/ou de gestion si la curatelle d’accompagnement suffit aux besoins de la personne concernée (art. 389 CC) (TF 5A_667/2013 du 12 novembre 2013 consid. 6.1 et 6.2 ; Guide pratique COPMA, n. 5.11, p. 138). Il y aura enfin lieu de déterminer, en application du principe de subsidiarité, si d'autres formes d'assistance sont déjà fournies ou pourraient être sollicitées, ou si des mesures moins lourdes peuvent être envisagées (JdT 2014 III 91 consid. 2a ; Guide pratique COPMA, ibidem). Ainsi, en principe, il y a lieu d’ordonner tout d’abord la variante la plus légère de la curatelle d’accompagnement avant d’envisager, avant tout en cas de collaboration déficiente de la personne concernée, une curatelle de représentation. Sont réservés les cas où la mesure plus légère serait susceptible de favoriser un dommage – qui ne pourrait être écarté en temps utile – pour la personne concernée si elle devait se révéler insuffisante ; dans cette hypothèse, la mesure plus incisive doit être prononcée prioritairement (TF 5A_795/2014 du 14 avril 2015 consid. 4.3.1). 3.3 En l’espèce, il ressort du dossier que depuis 1990, la recourante souffre de troubles psychiatriques importants et chroniques qui l’empêchent de travailler et ont nécessité des hospitalisations en milieu psychiatrique. Depuis janvier 2015, elle suit un traitement psychiatrique intégré chez le docteur R.________ qui consiste en un suivi psychothérapeutique avec des séances hebdomadaires ainsi qu’en la prescription d’une médication antidépressive et anxiolytique. Aux dires du médecin précité, la recourante s’est plainte à plusieurs reprises des difficultés qu’elle rencontre pour gérer ses affaires administratives. Elle a également évoqué des conflits importants et incessants avec des personnes qu’elle doit côtoyer (assistante sociale, avocat). En outre, elle se sent actuellement très angoissée car elle est l’objet d’une décision d’expulsion de son logement qu’elle habite depuis de longues années car elle n’a pas payé deux mois de loyers et n’a pas contesté la décision de la gérance dans les délais. Au regard de ces éléments, tant la cause que la condition d’une curatelle sont réalisées, ce qui n’est du reste pas contesté. Avec l’appui de son psychiatre, la recourante avait requis l’institution d’une curatelle d’accompagnement. Or, les premiers juges ont prononcé une curatelle de représentation et de gestion sans examiner si la curatelle demandée était envisageable, respectivement sans indiquer les raisons pour lesquelles elle serait insuffisante. Interpellé par le juge délégué sur la question de savoir si une curatelle plus légère que celle prononcée à l’encontre de la recourante serait suffisante, l’OCTP a répondu par la négative. Il a non seulement relevé le manque de collaboration de P.________, mais également le fait que celle-ci ne s’acquitte de ses factures que lorsqu’elle estime qu’elles sont justifiées et rencontre des difficultés à défendre ses intérêts lorsqu’elle s’oppose à certaines créances, ce qui expliquerait les différentes poursuites et actes de défaut de biens à son encontre. On ignore cependant l’état de ces poursuites et de ces actes de défaut de biens. Cette question nécessite donc une instruction plus approfondie. D’autre part, l’OCTP considère que la mesure actuelle n’est pas adaptée à la situation de la recourante, dont l’attitude oppositionnelle empêcherait la curatrice de défendre ses intérêts. Cette question mérite également une instruction plus approfondie. La recourante quant à elle affirme que son manque de collaboration est une réaction logique face à une curatelle qui ne lui correspond pas. Ses propos sont étayés par l’attestation du docteur R.________ du 19 février 2016 qui relève que sa patiente avait requis, avec son soutien, une curatelle d’accompagnement et que l’institution d’une mesure plus contraignante l’avait conduite à entrer en conflit avec sa référente de l’OCTP, ce qui avait eu pour conséquence un blocage presque total dans la gestion de ses finances, la fragilisant de surcroît alors qu’elle présentait de longue date d’importantes difficultés psychologiques, notamment dans la gestion des relations interpersonnelles. S’agissant du grief de l’OCTP relatif à sa volonté de payer ou pas ses factures, la recourante relève que le fonctionnement de la curatelle n’est pas sans reproche. Elle fait notamment valoir que ses paiements (loyer) ont été effectués à double. Elle ne fournit toutefois pas les preuves qu’elle annonce. Elle prétend également que certaines factures de médecin ont fait l’objet de rappels. On ignore cependant si elle avait transmis ces factures à la curatrice. Il résulte de ce qui précède que la Cour de céans ne dispose pas de suffisamment d’éléments pour trancher. Il convient donc d’annuler la décision attaquée et de renvoyer la cause aux premiers juges afin qu’ils procèdent à un complément d’instruction. Ce complément devra notamment consister à examiner la situation financière actuelle de la recourante, en particulier l’état des poursuites et des actes de défaut de biens. Dès lors qu’au vu des déterminations de l’OCTP une mesure plus incisive comportant des restrictions d’accès aux biens est envisageable, il y aura lieu de mettre en œuvre une expertise pour déterminer la mesure adéquate. Si à l’inverse une curatelle d’accompagnement devait se révéler suffisante, il conviendrait alors d’examiner si la proposition de la recourante de confier le mandat à C.________ pourrait être suivie et si cette dernière serait apte et disposée à assumer le mandat. L’autorité de protection devra cas échéant prononcer les mesures provisoires nécessaires à la sauvegarde immédiate des intérêts de la personne concernée.</w:t>
      </w:r>
    </w:p>
    <w:p>
      <w:r>
        <w:rPr>
          <w:b/>
        </w:rPr>
        <w:t>E. 4</w:t>
      </w:r>
    </w:p>
    <w:p>
      <w:r>
        <w:t>En conclusion, le recours interjeté par P.________ doit être admis et la décision entreprise annulée, la cause étant renvoyée à la justice de paix pour complément d’instruction et nouvelle décision dans le sens des considérants. Le présent arrêt peut être rendu sans frais judiciaires (art. 74a al. 4 TFJC [Tarif du 28 septembre 2010 des frais judiciaires civils ; RSV 270.11.5]). Quand bien même elle obtient gain de cause, il n’y a pas lieu d’allouer de dépens de deuxième instance à la recourante. En effet, elle n'a pas procédé par l’intermédiaire d’un mandataire professionnel et la justice de paix n’a pas qualité de partie, mais d’autorité de première instance, de sorte qu’elle ne saurait être condamnée à des dépens (ATF 140 III 335 ; TF 5A_356/2014 du 14 août 2014 consid. 4.2 et 5). Par ces motifs, la Chambre des curatelles du Tribunal cantonal, statuant à huis clos, prononce : I. Le recours est admis. II. La décision est annulée et la cause est renvoyée à la Justice de paix du district de Lausanne pour complément d’instruction et nouvelle décision dans le sens des considérants. III. L’arrêt motivé est rendu sans frais judiciaires de deuxième instance. La présidente :              La greffière : Du 24 février 2016 Le dispositif de l'arrêt qui précède est communiqué par écrit aux intéressés. La greffière : Du L'arrêt qui précède, dont la rédaction a été approuvée à huis clos, est notifié à : ‑ Mme P.________, ‑ Mme A.________, assistante sociale auprès de l’Office des curatelles et tutelles professionnelles,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