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156 vom 4. Februar 2016</w:t>
      </w:r>
    </w:p>
    <w:p>
      <w:r>
        <w:t>VD Tribunal cantonal, 2016-02-04, FR</w:t>
      </w:r>
    </w:p>
    <w:p>
      <w:r>
        <w:rPr>
          <w:b/>
        </w:rPr>
        <w:t xml:space="preserve">Quelle: </w:t>
      </w:r>
      <w:r>
        <w:t>https://mcp.opencaselaw.ch/entscheid/vd_findinfo_Arr_t___2016___156</w:t>
      </w:r>
    </w:p>
    <w:p>
      <w:r>
        <w:t>FR: VD_FINDINFO Arrêt / 2016 / 156 du 4 février 2016</w:t>
      </w:r>
    </w:p>
    <w:p>
      <w:r>
        <w:t>IT: VD_FINDINFO Arrêt / 2016 / 156 del 4 febbraio 2016</w:t>
      </w:r>
    </w:p>
    <w:p>
      <w:pPr>
        <w:pStyle w:val="Heading2"/>
      </w:pPr>
      <w:r>
        <w:t>Regeste</w:t>
      </w:r>
    </w:p>
    <w:p>
      <w:r>
        <w:t>CURATELLE, SUBSIDIARITÉ, COMPÉTENCE RATIONE LOCI, RÉSIDENCE HABITUELLE | 389 CC, 390 al. 1 ch. 1 CC, 446 al. 1 CC, 446 al. 2 CC, 446 CC, 450 CC, 85 al. 2 LDIP, 85 LDIP</w:t>
      </w:r>
    </w:p>
    <w:p>
      <w:pPr>
        <w:pStyle w:val="Heading2"/>
      </w:pPr>
      <w:r>
        <w:t>Erwägungen</w:t>
      </w:r>
    </w:p>
    <w:p>
      <w:r>
        <w:rPr>
          <w:b/>
        </w:rPr>
        <w:t>E. 1</w:t>
      </w:r>
    </w:p>
    <w:p>
      <w:r>
        <w:t>Le recours est dirigé contre une décision par laquelle le juge de paix a clôt sans suite l’enquête en institution d’une curatelle ouverte en faveur de B.R.________.</w:t>
      </w:r>
    </w:p>
    <w:p>
      <w:r>
        <w:rPr>
          <w:b/>
        </w:rPr>
        <w:t>E. 1.1.1</w:t>
      </w:r>
    </w:p>
    <w:p>
      <w:r>
        <w:t>Contre une telle décision, le recours de l'art. 450 CC (Code civil suisse du 10 décembre 1907 ;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 recours doit être dûment motivé et interjeté par écrit (art. 450 al. 3 CC), les exigences de motivation ne devant cependant pas être trop élevées (Steck, Basler Kommentar, Zivilgesetzbuch I, Art. 1-456 CC, 5 ème éd., 2014, n. 42 ad art. 450 CC). Les personnes parties à la procédure, les proches de la personne concernée et les personnes qui ont un intérêt juridique à l'annulation ou à la modification de la décision attaquée ont qualité pour recourir (art. 450 al. 2 CC). Par proche au sens de l'art. 450 al.</w:t>
      </w:r>
    </w:p>
    <w:p>
      <w:r>
        <w:rPr>
          <w:b/>
        </w:rPr>
        <w:t>E. 1.1.2</w:t>
      </w:r>
    </w:p>
    <w:p>
      <w:r>
        <w:t>En l’espèce, le recours est suffisamment motivé et a été interjeté en temps utile. Le recourant, qui est le fils de l’intéressé, devrait en principe être considéré comme un proche. Cependant, il n’apparaît pas apte à défendre les intérêts de son père compte tenu de l’important conflit opposant les différents membres de la famille, la présomption de sa qualité de proche étant de plus renversée en raison de la procédure pénale l’opposant à son père. En revanche, ayant requis l’institution d’une mesure de curatelle, il est partie à la procédure et a par conséquent qualité pour recourir.</w:t>
      </w:r>
    </w:p>
    <w:p>
      <w:r>
        <w:rPr>
          <w:b/>
        </w:rPr>
        <w:t>E. 1.3</w:t>
      </w:r>
    </w:p>
    <w:p>
      <w:r>
        <w:t>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(art. 312 al. 2 et 322 al. 1 CPC, applicables par renvoi de l’art. 450f CC ; Reusser, Basler Kommentar, op. cit., nn. 6 ss ad art. 450d CC). En l’espèce, le recourant étant manifestement mal fondé au vu des considérations qui seront développées ci-après, la Chambre des curatelles a renoncé à consulter l’autorité de protection de l’adulte. 2.</w:t>
      </w:r>
    </w:p>
    <w:p>
      <w:r>
        <w:rPr>
          <w:b/>
        </w:rPr>
        <w:t>E. 2</w:t>
      </w:r>
    </w:p>
    <w:p>
      <w:r>
        <w:t>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w:t>
      </w:r>
    </w:p>
    <w:p>
      <w:r>
        <w:rPr>
          <w:b/>
        </w:rPr>
        <w:t>E. 2.1</w:t>
      </w:r>
    </w:p>
    <w:p>
      <w:r>
        <w:t>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w:t>
      </w:r>
    </w:p>
    <w:p>
      <w:r>
        <w:rPr>
          <w:b/>
        </w:rPr>
        <w:t>E. 2.2</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(ci-après : CLaH 2000 ; RS 0.211.232.1), sans égard à la nationalité et indépendamment du fait que leur pays d’origine soit ou non un Etat contractant (TF 5A_140/2008 et 5A_263/2008 du 9 juillet 2008 consid. 4.1). Selon l’art. 5 CLaH 2000, les autorités, tant judiciaires qu’administratives, de l’Etat contractant de la résidence habituelle de l’adulte sont compétentes pour prendre des mesures tendant à la protection de sa personne ou de ses biens (al. 1). La notion de résidence habituelle, qui n’est pas définie par la CLaH 2000, doit être déterminée de manière autonome (TF 5A_346/2012 du 12 juin 2012 consid. 4.1; TF 5A 257/2011 du 25 mai 2011 consid. 2.2; Füllemann, Das internationale Privat- und Zivilprozessrecht des Erwachsenenschutzes, thèse St-Gall 2008, n. 129, p. 85). Selon la définition qu’en donne en règle générale la jurisprudence, la résidence habituelle est basée sur une situation de fait et implique la présence physique dans un lieu donné. Est déterminant le centre effectif de vie de l’intéressé et de ses attaches, qui peut résulter soit de la durée de fait de la résidence et des relations ainsi créées, soit de la durée envisagée de la résidence et de l’intégration attendue. La résidence habituelle se détermine d’après des faits perceptibles de l’extérieur (ATF 129 III 288 consid. 4.1, JT 2003 I 281, s’agissant des Conventions de La Haye en général ; ATF 110 II 119 consid. 3, JdT 1986 I 320 ; TF 5A_550/2012 du 10 septembre 2012 consid. 3.3.1 ; TF 5A_346/2012 précité consid. 4.1 ; TF 5A_650/2009 du</w:t>
      </w:r>
    </w:p>
    <w:p>
      <w:r>
        <w:rPr>
          <w:b/>
        </w:rPr>
        <w:t>E. 2.3</w:t>
      </w:r>
    </w:p>
    <w:p>
      <w:r>
        <w:t>Il résulte du dossier que le recourant a encore une adresse en Côte d’Ivoire, mais qu’il habite à Rolle depuis plusieurs années, qu’il se fait soigner en Suisse, qu’il a une mobilité très réduite et qu’il occupe l’un des deux appartements dont il est propriétaire. Ces éléments sont suffisants pour admettre que le recourant a sa résidence habituelle à Rolle, l’autorité de protection de l’adulte du district de Nyon étant compétente pour se prononcer sur la requête de A.R.________. La compétence du juge de paix du district de Nyon est donnée, celui-ci ayant considéré que la requête était manifestement mal fondée (cf. art. 5 al. 1 let. k et 13 al. 4 LVPAE). 3. Le recourant conteste la décision de première instance et requiert la mise en œuvre d’une expertise concernant B.R.________. 3.1 3.1.1 Aux termes de l’art. 446 al. 2 CC, l’autorité de protection procède à la recherche et à l’administration des preuves nécessaires ; elle peut charger une tierce personne ou un service d’effectuer une enquête ; si nécessaire, elle ordonne une expertise. Un rapport d’expertise est notamment obligatoire lorsqu’il s’agit de prononcer un placement à des fins d’assistance en raison de troubles psychiques (TF 5A_787/2011 du 24 novembre 201 consid. 3.4 ; ATF 137 III 289 consid. 4.2, JdT 2012 II 382 ; Steck, CommFam, op. cit., n. 13 ad art. 446 CC), de même qu’en cas de restriction de l’exercice des droits civils en raison d’un trouble psychique ou d’une déficience mentale, comme dans le cadre d’une curatelle de portée générale. Une expertise n'est en revanche pas obligatoire pour prononcer une curatelle de représentation et de gestion, à moins que cette mesure implique une restriction de l'exercice des droits civils de la personne concernée (ATF 140 III 97 consid. 4.2 et les réf. citées; Message 28 juin 2006 concernant la révision du Code civil suisse [Protection des personnes, droit des personnes, et droit de la filiation], Feuille fédérale 2006, pp. 6635 ss, spéc. p. 6711; Steck, CommFam, op. cit., n. 13 ad art. 446 CC). 3.1.2 Conformément à la maxime inquisitoire d’office applicable en matière de protection de l’adulte, il n’appartient pas au dénonçant, mais à l’autorité de protection, de décider quelles mesures d’instruction sont nécessaires. L’expertise, en particulier, n’est ordonnée qu’en cas de besoin et n’est pas exigée pour l’instauration de toutes les mesures de protection. Dans ces conditions, la conclusion unique du recourant tendant à la mise en œuvre d’une expertise concernant son père est irrecevable et, partant, le recours dans son entier. Le recours est au surplus manifestement mal fondé. 3.2 3.2.1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Pour fonder une curatelle, il faut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Droit de la protection de l'adulte, Guide pratique COPMA, 2012, n. 5.10, p. 138). À l’art. 389 CC, le législateur soumet toutes les mesures ordonnées par les autorités de protection de l’adulte au respect des principes de subsidiarité et de proportionnalité. Le principe de subsidiarité implique de n’ordonner une mesure de protection que lorsque l’aide que nécessite la personne concernée ne peut pas être suffisamment assurée d’une autre manière, que ce soit par la famille, par d’autres personnes proches ou par des services privés ou publics. Lorsque l’autorité parvient à la conclusion que le soutien apporté à la personne qui a besoin d’aide est insuffisant, elle prend une mesure, qui doit être proportionnée, c’est-à-dire nécessaire et appropriée. Elle doit instituer des « mesures sur mesure », soit celles qui correspondent aux besoins de la personne concernée. En bref, l’autorité de protection de l’adulte doit suivre le principe suivant : « assistance étatique autant que besoin est, et intervention étatique aussi rare que possible » (ATF 140 III 49, JdT 2014 II 331 consid. 4.3 ; TF 5A_356/2015 du consid. 3.1). Les mesures prises par l’autorité de protection doivent en outre favoriser autant que possible l’autonomie de l’intéressé (principe d’autodétermination ; art. 388 al. 2 CC). 3.2.2 Dans son courrier du 15 septembre 2015, le dénonçant décrit une situation familiale hautement conflictuelle. Il estime que son père a tort de faire confiance à ses deux sœurs V.________ et M.________ pour la gestion de ses finances. Plusieurs procédures pénales ont opposé différents membres de la famille, et une procédure pénale oppose actuellement le dénonçant au dénoncé. L’existence d’un important conflit entre le dénonçant et une grande partie de ses frères et sœurs ainsi que son père ne constitue cependant pas un motif d’institution d’une mesure. Les deux épisodes épileptiques du mois de juillet 2014 sont également insuffisants pour admettre l’existence d’un besoin de protection. Par ailleurs, le Dr [...] a établi un certificat médical en faveur du dénoncé, affirmant que celui-ci était capable de discernement. On ne discerne ainsi aucun élément au dossier qui mettrait en évidence des problèmes cognitifs ou un besoin d'intervention d'un tiers. Au demeurant, les procurations notariées en faveur de ses filles et le mandat pour cause d’inaptitude signés par l’intéressé ont pour conséquence qu’en cas de besoin de protection, l’assistance doit être fournie sous cette forme-là et que c’est uniquement si le juge estime ces mesures insuffisantes qu’il prendra d’autres mesures (cf. en particulier art. 363 al. 2 let. 4 CC), conformément aux principes de subsidiarité et d’autodétermination. La décision du juge de paix ne prête dès lors pas le flanc à la critique et doit être confirmée. 4. En conclusion, le recours doit être rejeté et la décision attaquée confirmée. Les frais judiciaires de deuxième instance peuvent être fixés à 300 fr. (art. 74a al. 1 TFJC [tarif du 28 septembre 2010 des frais judiciaires civils, RSV 270.11.5]) et doivent être mis à la charge du recourant qui succombe (art. 106 al. 1 CPC, applicable par renvoi des art. 450f CC et 12 LVPAE). B.R.________ n’ayant pas été invité à se déterminer sur le recours, il n’y a pas lieu à l’allocation de dépens de deuxième instance. Par ces motifs, La Chambre des curatelles du Tribunal cantonal, statuant à huis clos, prononce : I. Le recours est rejeté dans la mesure où il est recevable. II. Le prononcé est confirmé. III. Les frais judiciaires de deuxième instance, arrêtés à 300 fr. (trois cents francs) sont mis à la charge de A.R.________. IV. L’arrêt motivé est exécutoire. La présidente :              La greffière : Du 8 février 2016 Le dispositif de l'arrêt qui précède est communiqué par écrit aux intéressés. La greffière : Du L'arrêt qui précède, dont la rédaction a été approuvée à huis clos, est notifié à : ‑ Me Pritam Singh (pour B.R.________), ‑ A.R.________, personnellement. et communiqué à : ‑ Mme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décembre 2015 consid. 2.5.1.2 et 2.5.2.2 ; Steck, in Commentaire du droit de la famille [ci-après : Steck, CommFam], Protection de l’adulte, Berne 2013, n. 24 ad art. 450 CC).</w:t>
      </w:r>
    </w:p>
    <w:p>
      <w:r>
        <w:rPr>
          <w:b/>
        </w:rPr>
        <w:t>E. 11</w:t>
      </w:r>
    </w:p>
    <w:p>
      <w:r>
        <w:t>novembre 2009 consid. 5.2, in SJ 2010 I 193; Schwander, Basler Kommentar, Internationales Privatrecht, 3 ème éd., 2013, nn. 136 ss ad art. 85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