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1169 vom 2. Februar 2017</w:t>
      </w:r>
    </w:p>
    <w:p>
      <w:r>
        <w:t>VD Tribunal cantonal, 2017-02-02, FR</w:t>
      </w:r>
    </w:p>
    <w:p>
      <w:r>
        <w:rPr>
          <w:b/>
        </w:rPr>
        <w:t xml:space="preserve">Quelle: </w:t>
      </w:r>
      <w:r>
        <w:t>https://mcp.opencaselaw.ch/entscheid/vd_findinfo_Arr_t___2016___1169</w:t>
      </w:r>
    </w:p>
    <w:p>
      <w:r>
        <w:t>FR: VD_FINDINFO Arrêt / 2016 / 1169 du 2 février 2017</w:t>
      </w:r>
    </w:p>
    <w:p>
      <w:r>
        <w:t>IT: VD_FINDINFO Arrêt / 2016 / 1169 del 2 febbraio 2017</w:t>
      </w:r>
    </w:p>
    <w:p>
      <w:pPr>
        <w:pStyle w:val="Heading2"/>
      </w:pPr>
      <w:r>
        <w:t>Regeste</w:t>
      </w:r>
    </w:p>
    <w:p>
      <w:r>
        <w:t>RENTE D'INVALIDITÉ, ÉVALUATION DE L'INCAPACITÉ DE TRAVAIL, REVENU D'INVALIDE, BASE DE CALCUL, COMPARAISON DES REVENUS, MARCHÉ ÉQUILIBRÉ DU TRAVAIL | 28 al. 1 LAI, 28 al. 2 LAI, 4 al. 1 LAI, 16 LPGA, 6 LPGA, 7 LPGA, 8 LPGA</w:t>
      </w:r>
    </w:p>
    <w:p>
      <w:pPr>
        <w:pStyle w:val="Heading2"/>
      </w:pPr>
      <w:r>
        <w:t>Erwägungen</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Le litige porte sur le droit du recourant à une rente d'invalidité.</w:t>
      </w:r>
    </w:p>
    <w:p>
      <w:r>
        <w:rPr>
          <w:b/>
        </w:rPr>
        <w:t>E. 2.3</w:t>
      </w:r>
    </w:p>
    <w:p>
      <w:r>
        <w:t>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(cf. ATF 125 V 351 consid. 3b/cc et les références). 4.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La détermination du revenu d'invalide suppose de prendre en considération l'obligation de l'assuré de réduire le dommage, contrairement à ce qui prévaut pour fixer le revenu sans invalidité (ATF 134 V 64 consid. 4 ; Michel Valterio , Droit de l’assurance-vieillesse et survivants (AVS) et de l’assurance-invalidité (AI), Genève/Zurich/Bâle 2011, n. 2108 p. 562). Cette exigence suppose, pour l'assuré qui demande une rente d'invalidité, l'obligation d'accepter d'exercer cette activité dans tous les domaines de l'économie, sans se limiter au domaine dans lequel il travaillerait s'il n'était pas atteint dans sa santé (TF 9C_393/2008 du 27 janvier 2009 consid. 3.3) et d'accepter la prise en considération d'un salaire plus élevé auquel il a volontairement renoncé. En effet, en vertu de son obligation de réduire le dommage il se doit d'utiliser de manière optimale sa capacité de travail résiduelle, une fois que l'invalidité s'est manifestée (TFA I 687/04 du 24 mars 2005 consid.2.3 ; Michel Valterio , op. cit ., n. 2108 p. 562).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Il s'ensuit que pour évaluer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 d’œuvre (VSI 1998 p. 293 consid.3b ; Michel VALTERIO, op. cit ., n. 2112 pp. 563-564).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du 28 octobre 2015 consid. 3.2 et la référence). 5. a) Il est constant en l'espèce qu'atteint de lombalgies récurrentes sur troubles dégénératifs, le recourant a présenté des incapacités de travail variables (100%, puis 50%), du 9 février au 6 avril 2015, dans son activité habituelle de gestionnaire de vente / magasinier à la R.________ (cf. rapport du 22 juillet 2015 du Dr X.________). Une reprise en tant que vendeur à plein temps en épicerie à la R.________ [...], depuis le 11 juin 2015, a finalement abouti au constat que cet emploi n'était plus adapté avec, à la clé, le licenciement intervenu au 30 juin 2016. Ce poste ne répondait pas aux limitations fonctionnelles fixées par les médecins (cf. avis médical SMR du 23 novembre 2015 du Dr H.________). Ces derniers – et notamment son médecin traitant – s'accordent à dire que l’assuré conserve une capacité de travail à 100 %, dès le 7 avril 2015, dans une activité adaptée aux limitations suivantes : pas de positions statiques assis / debout prolongées, pas d'activités principalement en marchant (terrain irrégulier) ou agenouillé de manière répétée ni port de charges au-delà de cinq kilos (cf. rapports des 22 juillet et 5 novembre 2015 du Dr X.________ ; avis médical SMR du 23 novembre 2015 du Dr H.________). b) Le recourant ne conteste d'ailleurs pas cette appréciation médicale dans ses écritures. Il soutient en revanche que compte tenu des circonstances, l'intimé ne serait pas fondé à prendre en compte, pour le calcul de son préjudice économique, le revenu d'invalide hypothétique réalisable dans l'exercice d'un emploi de l'industrie légère ou de conditionnement pharmaceutique, voire de surveillant d'un processus de production mentionnés dans la décision querellée. Il allègue être dans l'incapacité d'accéder à de tels postes compte tenu de ses limitations fonctionnelles, notamment celle lui interdisant le port de charges supérieures à cinq kilos. A le suivre, retrouver un travail, pour un assuré qui ne peut déplacer des charges de plus de cinq kilos, serait une vue de l'esprit qui ferait abstraction de la réalité du marché de l'emploi. La R.________ n'a d'ailleurs pas pu le reclasser dans un poste adapté. c) Cette argumentation ne convainc pas. En effet, conformément aux constatations médicales émanant aussi bien de son médecin traitant (cf. rapports du Dr X.________ des 22 juillet et 5 novembre 2015) que du SMR, il est susceptible d’exercer une activité respectant ses limitations fonctionnelles, à temps complet. Aucun reclassement n'ayant pu être retrouvé à l'interne à la R.________, il lui incombe désormais, en lien avec l'obligation de l'assuré de réduire le dommage, d'accepter d'exercer cette activité normalement exigible de sa part dans tous les domaines de l'économie, sans se limiter au domaine dans lequel il travaillerait s'il n'était pas atteint dans sa santé (cf. consid. 4a supra). Contrairement à ce que soutient le recourant, la jurisprudence constante admet que les activités non qualifiées dans le secteur privé (niveau 1) prises en considération par l'OAI pour établir le revenu médian sur la base de l'Enquête suisse sur la structure des salaires (ESS) recouvrent un éventail suffisamment large d'activités pour qu'un nombre significatif d'entre elles soient adaptées à ses limitations fonctionnelles et à sa situation personnelle. Une déduction de 25% au maximum est néanmoins admise pour tenir compte de tels facteurs personnels (cf. ATF 126 V 75 ; TF 9C_813/2015 du 31 mai 2016 consid. 3 et TF 9C_25/2012 du 25 avril 2012 consid. 3.5, parmi d'autres). En l'occurrence, l'intimé a procédé à une déduction de 15% qui ne prête aucun flanc à la critique. Le calcul du taux d'invalidité effectué par l'intimé est pour le surplus conforme au droit, sans qu'il soit nécessaire d'y revenir plus avant en l'absence de grief du recourant.</w:t>
      </w:r>
    </w:p>
    <w:p>
      <w:r>
        <w:rPr>
          <w:b/>
        </w:rPr>
        <w:t>E. 3</w:t>
      </w:r>
    </w:p>
    <w:p>
      <w:r>
        <w:t>a) L'invalidité se définit comme l'incapacité de gain totale ou partielle qui est présumée permanente ou de longue durée, résultant d'une infirmité congénitale, d'une maladie ou d'un accident (art. 8 al. 1 LPGA et 4 al. 1 LAI). L'incapacité de gain consiste en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6</w:t>
      </w:r>
    </w:p>
    <w:p>
      <w:r>
        <w:t>a) Mal fondé, le recours doit en conséquence être rejeté, ce qui entraîne la confirmation de la décision attaquée. b) Il n'y a pas lieu d'allouer de dépens, le recourant n'obtenant pas gain de cause (art. 61 let. g LPGA a contrario ; art. 55 LPA-VD). c) Par décision du 10 novembre 2016, le recourant a été mis au bénéfice de l'assistance judiciaire à compter du 29 septembre 2016 et a obtenu à ce titre l'exonération du paiement d'avances et des frais judiciaires ainsi que la commission d'un avocat d'office en la personne de Me Jean-Pierre Bloch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d) Me Bloch a produit une liste des opérations qui, vérifiée d'office, ne prête pas flanc à la critique. Il convient donc de lui allouer une indemnité de 500 fr. (TVA comprise), provisoirement à charge du canton.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applicable par renvoi de l’art. 18 al. 5 LPA-VD). En l’espèce, compte tenu de l’ampleur de la procédure, les frais de justice doivent être fixés à 400 fr. et devraient être mis à la charge du recourant, qui succombe (art. 69 al. 1bis LAI ; art. 49 al. 1 LPA-VD). Toutefois dès lors que ce dernier est au bénéfice de l’assistance judiciaire, ces frais sont laissés provisoirement à la charge de l’Etat. e) Le recourant est rendu attentif au fait qu'il est tenu de rembourser les montants pris en charge par le canton dès qu'il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