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1109 vom 10. Oktober 2016</w:t>
      </w:r>
    </w:p>
    <w:p>
      <w:r>
        <w:t>VD Tribunal cantonal, 2016-10-10, FR</w:t>
      </w:r>
    </w:p>
    <w:p>
      <w:r>
        <w:rPr>
          <w:b/>
        </w:rPr>
        <w:t xml:space="preserve">Quelle: </w:t>
      </w:r>
      <w:r>
        <w:t>https://mcp.opencaselaw.ch/entscheid/vd_findinfo_Arr_t___2016___1109</w:t>
      </w:r>
    </w:p>
    <w:p>
      <w:r>
        <w:t>FR: VD_FINDINFO Arrêt / 2016 / 1109 du 10 octobre 2016</w:t>
      </w:r>
    </w:p>
    <w:p>
      <w:r>
        <w:t>IT: VD_FINDINFO Arrêt / 2016 / 1109 del 10 ottobre 2016</w:t>
      </w:r>
    </w:p>
    <w:p>
      <w:pPr>
        <w:pStyle w:val="Heading2"/>
      </w:pPr>
      <w:r>
        <w:t>Regeste</w:t>
      </w:r>
    </w:p>
    <w:p>
      <w:r>
        <w:t>ACTION EN DÉSAVEU, FILIATION, COMPÉTENCE RATIONE LOCI, PARTIE À LA PROCÉDURE, ADMISSION DE LA DEMANDE, LAPSUS CALAMI | 25 CC, 256 CC, 306 al. 2 CC, 315 CC, 334 al. 1 CPC (CH)</w:t>
      </w:r>
    </w:p>
    <w:p>
      <w:pPr>
        <w:pStyle w:val="Heading2"/>
      </w:pPr>
      <w:r>
        <w:t>Erwägungen</w:t>
      </w:r>
    </w:p>
    <w:p>
      <w:r>
        <w:rPr>
          <w:b/>
        </w:rPr>
        <w:t>E. 1.1</w:t>
      </w:r>
    </w:p>
    <w:p>
      <w:r>
        <w:t>Le recours est dirigé contre une décision de la justice de paix d’instituer, en application de l’art. 306 al. 2 CC (Code civil suisse du 10 décembre 1907 ; RS 210), une curatelle de représentation en faveur d’un enfant, en vue d’établir un test ADN et, le cas échéant, d’intenter une action en désaveu.</w:t>
      </w:r>
    </w:p>
    <w:p>
      <w:r>
        <w:rPr>
          <w:b/>
        </w:rPr>
        <w:t>E. 1.2</w:t>
      </w:r>
    </w:p>
    <w:p>
      <w:r>
        <w:t>Contre une telle décision, le recours de l'art. 450 CC est ouvert à la Chambre des curatelles (art. 8 LVPAE [loi du 29 mai 2012 d'application du droit fédéral de la protection de l'adulte et de l'enfant ; RSV 211.255] et 76 al.</w:t>
      </w:r>
    </w:p>
    <w:p>
      <w:r>
        <w:rPr>
          <w:b/>
        </w:rPr>
        <w:t>E. 1.3</w:t>
      </w:r>
    </w:p>
    <w:p>
      <w:r>
        <w:t>En l’espèce, interjeté en temps utile par la mère de l'enfant mineure concernée, partie à la procédure, le présent recours est recevable. Les pièces produites en deuxième instance sont également recevables, si tant est qu’elles ne figurent pas déjà au dossier. Le recours a en outre été contresigné par l’époux de la recourante, père juridique de l’enfant concernée, lequel présente un intérêt juridique à l’annulation de la décision attaquée. L'autorité de protection a été consultée conformément à l'art. 450d al. 1 CC. La curatrice de représentation de l’enfant concernée et l’intimé ont été invités à se déterminer (art. 312 al. 1 CPC, applicable par renvoi des art. 450f CC et 20 LVPAE).</w:t>
      </w:r>
    </w:p>
    <w:p>
      <w:r>
        <w:rPr>
          <w:b/>
        </w:rPr>
        <w:t>E. 2</w:t>
      </w:r>
    </w:p>
    <w:p>
      <w:r>
        <w:t>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5 e éd., 2014 Bâle, n. 42 ad art. 450 CC, p. 2624).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n. 12.39, p. 290). En outre, la Chambre des curatelles n’est pas liée par les conclusions des parties (Meier, Droit de la protection de l’adulte, 2016, n. 216 p. 108 et n. 245 p. 125).</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 3 et 4 ad art. 492 CPC-VD p. 763, point de vue qui demeure valable sous l’empire du nouveau droit).</w:t>
      </w:r>
    </w:p>
    <w:p>
      <w:r>
        <w:rPr>
          <w:b/>
        </w:rPr>
        <w:t>E. 2.2.1</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Lorsqu'il y a péril en la demeure, il peut être justifié de ne pas procéder à une audition personnelle, mais de procéder à celle-ci dès que possible (Steinauer / Fountoulakis, Droit des personnes physiques et de la protection de l'adulte, nn. 1108 et 1116, pp. 494 et 498).</w:t>
      </w:r>
    </w:p>
    <w:p>
      <w:r>
        <w:rPr>
          <w:b/>
        </w:rPr>
        <w:t>E. 2.2.2</w:t>
      </w:r>
    </w:p>
    <w:p>
      <w:r>
        <w:t>En l’espèce, l’autorité de protection a procédé à l’audition de l’intimé lors de son audience du 26 avril 2016. La mère de l’enfant, bien que régulièrement citée, a décidé de ne pas se présenter ; elle s’est exprimée dans le cadre de son recours. Le droit d’être entendu des parties a ainsi été respecté. Agée de moins d’un an, l’enfant B.W.________ était pour sa part trop jeune pour être entendue (cf. TF 5A_354/2015 du 3 août 2015 consid. 3.1).</w:t>
      </w:r>
    </w:p>
    <w:p>
      <w:r>
        <w:rPr>
          <w:b/>
        </w:rPr>
        <w:t>E. 2.3.1</w:t>
      </w:r>
    </w:p>
    <w:p>
      <w:r>
        <w:t>La recourante conteste avoir entretenu une relation amoureuse avec l’intimé, exposant en substance que celui-ci l’a harcelée. Elle soutient que l’intimé  ne peut être considéré comme partie à une éventuelle action en désaveu et que la justice de paix n’était pas compétente à raison du lieu pour prononcer une mesure de curatelle de représentation en faveur de sa fille.</w:t>
      </w:r>
    </w:p>
    <w:p>
      <w:r>
        <w:rPr>
          <w:b/>
        </w:rPr>
        <w:t>E. 2.3.2</w:t>
      </w:r>
    </w:p>
    <w:p>
      <w:r>
        <w:t>Aux termes de l'art. 255 al. 1 CC, l'enfant né pendant le mariage a pour père le mari. Cette présomption de paternité peut être attaquée devant le juge par le mari (art. 256 al. 1 ch. 1 CC), respectivement par l'enfant si la vie commune des époux a pris fin pendant sa minorité (art. 256 al. 1 ch. 2 CC). L'action de l'enfant est intentée contre le mari et la mère (art. 256 al. 2 CC). Pour l'enfant, il s'agit d'un droit strictement personnel, indépendant de celui du mari de sa mère, qu'il peut ainsi exercer seul s'il a la capacité de discernement (art. 19c al. 1 CC) ; à défaut, l'enfant doit pouvoir agir par un curateur de représentation (art. 306 al. 2 CC), lequel entreprendra le procès en désaveu au nom de l'enfant (TF 5A_939/2013 du 5 mars 2014 consid. 2.1 ; TF 5A_128/2009 du 22 juin 2009 consid. 2.3 ; ATF 122 II 289 consid. 1.c, JdT 1998 I 93 et les références citée). La présomption de paternité se fonde sur le mariage de la mère, auquel doit s'ajouter l'un des trois états de fait alternatifs que mentionne l'art. 255 CC – soit la naissance dans le mariage, la naissance dans les 300 jours qui suivent le décès du mari ou encore la naissance après 300 jours, mais avec la conception durant le mariage (Guillod, Commentaire romand, n. 5 ad art. 255 CC, p. 1541). Est né pendant le mariage l'enfant qui est né entre le jour des noces et le dernier jour de la validité du mariage, par exemple la veille de l'entrée en force d'un jugement de divorce (Guillod, op. cit., n. 6 ad art. 255 CC, p. 1541). L’art. 25 CPC dispose que le tribunal du domicile de l’une des parties est impérativement compétent pour statuer sur l’action en constatation ou en contestation de la filiation.</w:t>
      </w:r>
    </w:p>
    <w:p>
      <w:r>
        <w:rPr>
          <w:b/>
        </w:rPr>
        <w:t>E. 2.3.3</w:t>
      </w:r>
    </w:p>
    <w:p>
      <w:r>
        <w:t>En l’espèce, la naissance de l’enfant concernée est survenue alors que la recourante était mariée ; l’époux de la recourante est dès lors présumé être le père de cette enfant. Il n’est pas allégué ni établi que la vie commune de ceux-ci aurait pris fin ; bien au contraire, l’époux de la recourante a contresigné l’acte de recours. C’est à tort que l’autorité de protection s’est déclarée compétente sur la base du domicile de l’intimé. D’une part, l’intimé n’est pas partie à l’action en désaveu, celle-ci ne pouvant être introduite que par le père présumé – en l’occurrence l’époux de la recourante – ou par l’enfant concerné si la vie commune des époux a pris fin – tel n’étant pas le cas en l’espèce. En outre, la procédure qui a été introduite devant l’autorité de protection n’était pas une action en constatation ou contestation de la filiation au sens de l’art. 25 CPC, de sorte que cette disposition ne trouvait pas application ici. Il s’agissait en effet d’une procédure destinée à ordonner une mesure de protection de l’enfant au sens large (Zingaro, Commentaire du droit de la famille [CommFam], Protection de l’adulte, Berne 2013, n. 2 ad art. 306 al. 2 et 3 CC, p. 1050 s.), à laquelle il convenait d’appliquer l’art. 315 al. 1 CC par analogie ; selon cette disposition, les mesures de protection de l’enfant sont ordonnées par l’autorité de protection de l’enfant du domicile de l’enfant. Le domicile de l’enfant étant dans le Canton du Valais, la Justice de paix du district de Nyon n’était pas compétente à raison du lieu. Par surabondance, les conditions de l’ouverture d’une action en désaveu par l’enfant ne sont pas réalisées, dans la mesure où la vie commune des époux n’a pas pris fin. La voie de l’action en désaveu n’étant pas ouverte, il n’était pas dans l’intérêt de l’enfant concernée d’autoriser ou d’ordonner un test ADN en vue d’établir sa filiation paternelle. Pour ces motifs, les premiers juges auraient dû se déclarer incompétents, prononcer l’irrecevabilité de la requête et statuer sur les frais de première instance.</w:t>
      </w:r>
    </w:p>
    <w:p>
      <w:r>
        <w:rPr>
          <w:b/>
        </w:rPr>
        <w:t>E. 3.1</w:t>
      </w:r>
    </w:p>
    <w:p>
      <w:r>
        <w:t>Le recours de A.W.________ doit donc être admis, la décision entreprise annulée et la cause renvoyée à la justice de paix pour nouvelle décision dans le sens des considérants.</w:t>
      </w:r>
    </w:p>
    <w:p>
      <w:r>
        <w:rPr>
          <w:b/>
        </w:rPr>
        <w:t>E. 3.2</w:t>
      </w:r>
    </w:p>
    <w:p>
      <w:r>
        <w:t>Les frais judiciaires de deuxième instance peuvent être fixés à 250 fr. (art. 74a al. 1 TFJC [tarif du 28 septembre 2010 des frais judiciaires civils ; RSV 270.11.5]) et doivent être mis à la charge de l’intimé qui succombe (art. 106 al. 1 CPC, applicable par renvoi des art. 450f CC et 12 LVPAE).</w:t>
      </w:r>
    </w:p>
    <w:p>
      <w:r>
        <w:rPr>
          <w:b/>
        </w:rPr>
        <w:t>E. 3.3</w:t>
      </w:r>
    </w:p>
    <w:p>
      <w:r>
        <w:t>Aux termes de l’art. 334 al. 1 CPC, applicable par renvoi de l’art. 450f CC, si le dispositif de la décision est peu clair, contradictoire ou incomplet ou qu’il ne correspond pas à la motivation, le tribunal procède, sur requête ou d’office, à l’interprétation ou à la rectification de la décision. Selon cette disposition, il y a lieu à rectification lorsqu'une erreur patente est manifestement due à une inadvertance (Schweizer, Code de procédure civile commenté, n. 11 ad art. 334 CPC, p. 1309). En l’espèce, le dispositif envoyé aux parties le 11 octobre 2016 est incomplet en ce sens qu’il ne mentionne pas que l’intimé doit verser à la recourante la somme de 250 fr. à titre de restitution de l’avance de frais de deuxième instance fournie par celle-ci (art. 111 al. 2 CPC). Cette erreur est corrigée d’office dans le dispositif de l’arrêt motivé. Par ces motifs, la Chambre des curatelles du Tribunal cantonal, statuant à huis clos, prononce : I. Le recours est admis. II. La décision est annulée et la cause renvoyée à la Justice de paix du district de Nyon pour nouvelle décision dans le sens des considérants. III. Les frais judiciaires de deuxième instance, arrêtés à 250 fr. (deux cent cinquante francs), sont mis à la charge de l’intimé Q.________. IV. L’intimé doit verser à la recourante A.W.________ la somme de 250 fr. (deux cent cinquante francs) à titre de restitution de l’avance de frais de deuxième instance. V. L'arrêt motivé est exécutoire. La présidente :              La greffière : Du L'arrêt qui précède, dont le dispositif a été communiqué par écrit aux intéressés le 11 octobre 2016, est notifié à : ‑ Mme A.W.________, personnellement, ‑ M. Q.________, personnellement, - Me Olivia Davis (pour B.W.________), et communiqué à : ‑ Justice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