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99 vom 3. Februar 2015</w:t>
      </w:r>
    </w:p>
    <w:p>
      <w:r>
        <w:t>VD Tribunal cantonal, 2015-02-03, FR</w:t>
      </w:r>
    </w:p>
    <w:p>
      <w:r>
        <w:rPr>
          <w:b/>
        </w:rPr>
        <w:t xml:space="preserve">Quelle: </w:t>
      </w:r>
      <w:r>
        <w:t>https://mcp.opencaselaw.ch/entscheid/vd_findinfo_Arr_t___2015___99</w:t>
      </w:r>
    </w:p>
    <w:p>
      <w:r>
        <w:t>FR: VD_FINDINFO Arrêt / 2015 / 99 du 3 février 2015</w:t>
      </w:r>
    </w:p>
    <w:p>
      <w:r>
        <w:t>IT: VD_FINDINFO Arrêt / 2015 / 99 del 3 febbraio 2015</w:t>
      </w:r>
    </w:p>
    <w:p>
      <w:pPr>
        <w:pStyle w:val="Heading2"/>
      </w:pPr>
      <w:r>
        <w:t>Regeste</w:t>
      </w:r>
    </w:p>
    <w:p>
      <w:r>
        <w:t>ÉVALUATION DE L'INVALIDITÉ, REFUS DE LA PRESTATION D'ASSURANCE, FORMATION PROFESSIONNELLE INITIALE, COMPARAISON DES REVENUS, REVENU SANS INVALIDITÉ, REVENU D'INVALIDE, RENTE D'INVALIDITÉ, LOI FÉDÉRALE SUR L'ASSURANCE-INVALIDITÉ, RÈGLEMENT SUR L'ASSURANCE-INVALIDITÉ | 28 al. 1 LAI, 28 al. 2 LAI, 28 LAI, 4 al. 1 LAI, 16 LPGA, 6 LPGA, 7 al. 1 LPGA, 7 LPGA, 8 al. 1 LPGA, 8 LPGA, 26 al. 1 RAI, 26 RAI</w:t>
      </w:r>
    </w:p>
    <w:p>
      <w:pPr>
        <w:pStyle w:val="Heading2"/>
      </w:pPr>
      <w:r>
        <w:t>Erwägungen</w:t>
      </w:r>
    </w:p>
    <w:p>
      <w:r>
        <w:rPr>
          <w:b/>
        </w:rPr>
        <w:t>E. 1</w:t>
      </w:r>
    </w:p>
    <w:p>
      <w:r>
        <w:t>a) Les dispositions de la loi fédérale du 6 octobre 2000 sur la partie générale du droit des assurances sociales (LPGA, RS 830.1) s'appliquent à l'assurance-invalidité, sous réserve de dérogations expresses (art. 1 al. 1 LAI).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querellée (art. 60 al. 1 LPGA).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b) A titre liminaire, on peut se demander si, au vu de ses conclusions tendant à l’irrecevabilité de la décision du 11 avril 2014 et du « rapport de 2009 », ainsi qu’à sa « réhabilitation » dans son droit à la rente, la lettre du 26 mai 2014 de l’assuré satisfait aux conditions formelles de recevabilité d’un acte de recours prévues à l’art. 61 let. b LPGA. Or, cette disposition, en relation avec l’art. 61 let. a LPGA – lequel prévoit la simplicité de la procédure – découle du principe de l'interdiction du formalisme excessif et constitue l'expression du principe de la simplicité de la procédure qui gouverne le droit des assurances sociales. Par conséquent, il convient de ne pas se montrer trop strict lorsqu'il s'agit d'apprécier la forme et le contenu de l'acte de recours, d’autant qu’en l’occurrence le recourant n'agit pas par l'entremise d'un professionnel qualifié. Par ailleurs, il ressort des autres conclusions et de la motivation du recours, qui peut être prise en considération dans l'interprétation des conclusions, que l’assuré demande le renvoi de la cause à l’intimé afin que celui-ci procède à une instruction complémentaire et qu’il lui octroie en définitive une rente d’invalidité. Interjeté pour le surplus en temps utile auprès de l’autorité vaudoise compétente compte tenu des féries judiciaires de Pâques (cf. art. 38 al. 4 let. a et 60 al. 2 LPGA), le recours est recevable, de sorte qu’il y a lieu d’entrer en matière.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w:t>
      </w:r>
    </w:p>
    <w:p>
      <w:r>
        <w:rPr>
          <w:b/>
        </w:rPr>
        <w:t>E. 3</w:t>
      </w:r>
    </w:p>
    <w:p>
      <w:r>
        <w:t>En l’espèce, est uniquement litigieux le taux d’invalidité déterminant le droit éventuel à une rente d’invalidité, singulièrement la capacité de travail du recourant dans une activité adaptée. Le recourant ne conteste en effet pas le fait que l’intimé ait mis fin à la mesure de formation initiale, estimant que les nombreuses atteintes dont il souffre « rendent impérative une décision d’octroi de rente Ai à 100% ». Le recourant reproche néanmoins à l’OAI d’avoir « décidé en 2011 (alors que M.  T.________ était en pleine formation – demandée par l’OAI) de supprimer la rente qu’elle lui versait ». A cet égard, il sied de rappeler qu’ensuite de l’arrêt du TFA du 15 janvier 2003 (I 189/02 publié à l’ATF 129 V 119) et au dépôt d’une demande de mesures de réadaptation professionnelle par le recourant le 17 janvier 2006, de nombreuses mesures (stage d’observation de base, formation pratique de gestionnaire du commerce de détail, stages, mesure de préformation dans le domaine du bureau, formation AFP d’assistant de bureau) ont été mises sur pied par l’intimé. La première année d’assistant de bureau AFP du recourant n’ayant pas pu être validée compte tenu de ses nombreuses absences liées à son état de santé (taux de présence à fin mai 2011 : 51,39%), l’intimé a accepté de prendre en charge les coûts du redoublement de la première année de l’assuré, ainsi que de sa seconde année AFP d’assistant de bureau auprès de l’U.________ de [...], soit du 1 er août 2011 au 31 juillet 2013. Le recourant n’ayant été présent que le 8 août 2011, le contrat d’apprentissage a finalement été rompu le 11 novembre 2011 entraînant de facto la fin du versement de la petite indemnité journalière. Par conséquent, contrairement à ses allégations, le recourant n’a jamais été mis au bénéfice d’une rente d’invalidité, raison pour laquelle le présent litige ne saurait être examiné sous l’angle des principes applicables en matière de révision de rente. A toutes fins utiles, on rappellera que le droit à une rente ne prend pas naissance tant que l’assuré peut faire valoir son droit à une indemnité journalière au sens de l’art. 22 LAI (art. 29 al. 2 LAI), ce qui était le cas durant la formation initiale.</w:t>
      </w:r>
    </w:p>
    <w:p>
      <w:r>
        <w:rPr>
          <w:b/>
        </w:rPr>
        <w:t>E. 4</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première phrase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L'art. 6 deuxième phrase LPGA précise qu'en cas d'incapacité de travail de longue durée, l'activité qui peut être exigée de lui peut aussi relever d'une autre profession ou d'un autre domaine d'activité. b) Selon l’art. 28 al. 2 LAI (en vigueur depuis le 1 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et, au terme de cette année, il est invalide (art. 8 LPGA) à 40% au moins (let. c). c) Pour l'évaluation de la capacité de travail, l'administration – ou le juge, s'il y a eu un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9C_219/2013 du 13 septembre 2013 consid. 3.1).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9C_573/2010 du 8 août 2011 consid. 4.1).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125 V 351 consid. 3a et la référence citée ; TF 9C_851/2012 du 5 mars 2013 consid. 2.2).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et les références citées ; TF 8C_862/2008 du 19 août 2009 consid. 4.2). Un rapport médical ne saurait toutefois être écarté pour la simple et unique raison qu’il émane du médecin traitant ou qu’il a été établi par un médecin se trouvant dans un rapport de subordination vis-à-vis d’un assureur (TF 9C_773/2007 du 23 juin 2008 consid. 5.2).</w:t>
      </w:r>
    </w:p>
    <w:p>
      <w:r>
        <w:rPr>
          <w:b/>
        </w:rPr>
        <w:t>E. 5</w:t>
      </w:r>
    </w:p>
    <w:p>
      <w:r>
        <w:t>En l’occurrence, le recourant reproche essentiellement à l’intimé de s’être fondé sur le « rapport de 2009 » (rapport du Dr M.________ du 22 janvier 2009 ?) pour refuser l’octroi d’une rente d’invalidité, arguant que dit rapport est devenu dans l’intervalle « caduc », compte tenu de la péjoration de son état de santé. a) Le recourant perd de vue qu’après la rupture du contrat d’apprentissage, en novembre 2011, l’intimé a mis en œuvre une expertise médicale pluridisciplinaire (rhumatologique, orthopédique et psychiatrique) auprès de la Clinique F.________. Dans leur rapport de synthèse du 21 mai 2012, les experts ont conclu que l’intéressé présentait une capacité de travail entière dans une activité adaptée, laquelle devrait éviter des positions en porte-à-faux du tronc et permettre de changer de position régulièrement. Cette appréciation rejoint les limitations définies par le Dr M.________ dans son rapport du 22 janvier 2009. A l’issue d’un séjour de l’assuré à la Clinique F.________ du 17 au 19 avril 2012, les experts ont en outre relevé que toute activité administrative tenant compte des limitations énumérées était adaptée et entièrement exigible depuis le début des mesures professionnelles, les problèmes récidivants de moignon ainsi que les troubles dorsaux présents depuis 2009 ne justifiant pas d’incapacité de travail de longue durée dans une activité en position assise. Sur le plan somatique, l’expert G.________ a ainsi constaté que les signes de Waddell pour la lombalgie étaient significatifs et que les signes de Kummel étaient positifs. L’expert a en outre suggéré au recourant l’utilisation de cannes anglaises ou d’une chaise roulante pour l’exercice de l’activité d’employé de bureau, mais l’intéressé, sans se prononcer véritablement sur cette proposition, lui a répondu qu’il souffrait à présent de douleurs rachidiennes intolérables. A l’issue de l’examen clinique pratiqué, l’expert a toutefois estimé que, du point de vue de l’appareil locomoteur (amputation du membre inférieur et ses complications, hyperostose vertébrale ankylosante), aucun élément ne pouvait contre-indiquer ou limiter l’exercice d’une activité administrative. Sur le plan psychique, l’expert L.________ a constaté qu’un état anxio-dépressif était évoqué dans le dossier AI, sans prise en charge spécialisée. L’examen clinique psychiatrique n’avait toutefois pas montré de signe de dépression majeure, de décompensation psychotique, d’anxiété généralisée incapacitante, de trouble phobique, de trouble de la personnalité morbide, de syndrome douloureux somatoforme persistant incapacitant ou de limitation fonctionnelle psychiatrique. b) Il convient de reconnaître une pleine valeur probante au rapport d’expertise du 21 mai 2012 de la Clinique F.________. Ce dernier contient une anamnèse détaillée, une description des plaintes et des données subjectives de l'assuré, les résultats des examens et consultations spécialisées, les diagnostics selon la CIM-10 (classification statistique internationale des maladies et des problèmes de santé connexes), une appréciation du cas et une motivation relative à la capacité de travail finalement constatée. Ces éléments découlent des pièces figurant au dossier de l'OAI, ainsi que des examens rhumatologique, orthopédique et psychiatrique. Partant, l'expertise, détaillée, remplit les critères posés par la jurisprudence pour se voir reconnaître une pleine valeur probante (cf. ATF 133 V 450 consid. 11.1.3, 125 V 351 consid. 3a). c) Le recourant n'a produit aucun document médical de nature à mettre en doute la pertinence des constatations des Drs G.________, W.________ et L.________. Sur le plan somatique, les Drs B.________ et J.________ ont admis, respectivement les 12 février et 27 mai 2013, avoir établi des certificats médicaux attestant une incapacité de travail partielle ou totale à la demande de leur patient, en l’absence de toute aggravation de l’état de santé de l’intéressé. La Dresse V.________ a, par courrier du 11 novembre 2013, posé le même diagnostic que celui qu’elle avait retenu dans ses appréciations des 30 mai et 4 juillet 2011, soit celui de status post-amputation type Burgess à droite, concluant en 2011 à des douleurs aiguës sans substrat organique important au niveau du moignon et évoquant même des douleurs chroniques « fantômes ». Elle avait déjà mentionné en 2011 des troubles statiques importants avec une cyphose thoracique rigidifiée et une hyperlordose lombaire, troubles dont ont également fait état les experts en 2012. La Dresse V.________ a toutefois évoqué pour la première fois en 2013 une coxarthrose antéro-supérieure droite, sans toutefois rendre vraisemblable une péjoration de l’état de santé de son patient pour ce motif ou du moins une incidence sur la capacité résiduelle de travail de l’intéressé dans une activité adaptée. Finalement, son appréciation relative à une capacité de travail de 50% n’emporte pas la conviction, car elle apparaît davantage motivée par des considérations d’ordre psychique que somatique, alors que la Dresse V.________ est spécialiste de l’appareil locomoteur. Cette praticienne a en effet précisé que le recourant pourrait travailler au moins à 50%, voire plus si du point de vue psychique il avait un meilleur équilibre. Il en va de même de l’avis du 26 novembre 2013 du Dr N.________, lequel s’est limité à reprendre à l’identique les éléments du rapport de la Dresse V.________. On ignore ainsi tout des examens qu'il a personnellement mis en oeuvre et du raisonnement qui lui a permis d'aboutir à une incapacité totale de travail de son patient en raison des troubles trophiques du moignon et de l’état anxio-dépressif. Le recourant a enfin allégué qu’il souffrait d’ulcères dus à la prise quotidienne de Tramal et qu’il présentait des carences, notamment en vitamine D. L’intéressé n’a toutefois pas rendu vraisemblable que de telles atteintes auraient, le cas échéant, duré suffisamment pour ouvrir droit aux prestations au moment de la décision litigieuse du 11 avril 2014. Sur le plan psychique, le recourant fait valoir qu’il souffre d’une dépression sévère. Certes, postérieurement à l’expertise de la Clinique F.________, soit dès le 5 février 2013, il a bénéficié d’un suivi médical et infirmier au Centre O.________, selon l’attestation médicale du 5 décembre 2013 de la Dresse I.________. Toutefois, comme il l’a indiqué dans son recours, il s’agissait essentiellement de prescription de méthadone. Comme le précise le recourant, ce n’est finalement que le 14 mai 2014, soit postérieurement à la décision attaquée, qu’il a été informé de la mise en place d’un protocole s’agissant de la prescription de méthadone et du suivi psychologique. A cet égard, on observera que le recourant s’est limité à faire état dans le cadre de sa réplique d’un bon établi le 5 septembre 2014 par le Dr Q.________ afin d’effectuer des analyses. En l'absence de tout indice au dossier d’un quelconque diagnostic sur le plan psychique, il n’y a pas lieu de s’écarter des conclusions convaincantes de l’expert L.________. Au demeurant, on soulignera que le recourant n’a pas été en mesure de prouver qu’il suivait sérieusement un traitement psychiatrique. d) Fondée sur les éléments exposés ci-dessus, la capacité résiduelle de travail du recourant retenue par l’intimé ne prête pas flanc à la critique. Le dossier étant complet et permettant ainsi à la présente autorité de statuer en pleine connaissance de cause, il n’y a pas lieu de renvoyer la cause à l’intimé pour qu’il procède à l'instruction complémentaire requise par le recourant, à savoir une nouvelle évaluation par les Drs N.________ et A.A.________, ainsi que par le Prof. D.D.________. Il en va de même de la réquisition du recourant visant la production complète en original du suivi psychologique effectué par le Prof. C.C.________ durant son incarcération, dans la mesure où un tel rapport n’est pas susceptible de mettre en évidence des éléments de nature clinique ou diagnostique qui auraient été ignorés par les experts. En définitive, de telles mesures d’instruction ne seraient pas de nature à modifier les considérations qui précèdent (appréciation anticipée des preuves ; cf. consid. 5b ci-dessus ; ATF 122 lI 464 consid. 4a ; TF 8C_764/2009 du 12 octobre 2009 consid. 3.2, 9C_440/2008 du 5 août 2008), puisque les faits pertinents ont pu être constatés à satisfaction de droit.</w:t>
      </w:r>
    </w:p>
    <w:p>
      <w:r>
        <w:rPr>
          <w:b/>
        </w:rPr>
        <w:t>E. 6</w:t>
      </w:r>
    </w:p>
    <w:p>
      <w:r>
        <w:t>Cela étant constaté, encore faut-il déterminer le degré d’invalidité présenté par le recourant.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Lorsqu'on procède à une évaluation, celle-ci ne doit pas nécessairement consister à chiffrer des valeurs approximatives ;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 ATF 114 V 310 consid. 3a et les références). b) En l'occurrence, il s'agit d'évaluer l'invalidité d'un assuré qui n’a pas achevé sa formation profession initiale et pour lequel on ne dispose pas de données salariales personnelles. Le cas relève ainsi de l’art. 26 RAI (règlement du 17 janvier 1961 sur l'assurance-invalidité, RS 831.201) et non de la règle générale de l'art. 16 LPGA. Selon l'art. 26 al. 1 RAI, lorsque la personne assurée n'a pas pu acquérir de connaissances professionnelles suffisantes à cause de son invalidité, le revenu qu'elle pourrait obtenir si elle n'était pas invalide correspond, en pour-cent, selon son âge, à une fraction de la médiane, actualisée chaque année, telle qu'elle ressort de l'enquête de l'Office fédéral de la statistique sur la structure des salaires. L'art. 26 RAI est un cas particulier d'application de la méthode générale de la comparaison des revenus (art. 16 LPGA) et permet de déterminer le revenu sans invalidité des assurés qui n'ont pas de formation professionnelle à cause de leur invalidité (TF 9C_398/2014 du 27 août 2014 consid. 4.2). c) En l’espèce, le calcul du taux d’invalidité n’est pas contesté. Vérifié d’office, il peut être confirmé. En effet, il s'agit d'évaluer l'invalidité d'un assuré âgé de plus de trente ans qui n’a pas achevé sa formation profession initiale, raison pour laquelle l’art. 26 RAI lui est applicable. A cet égard, l’intimé a, dans la décision attaquée, retenu au titre de revenu d’invalide un revenu annuel moyen de 66'990 fr., qui correspond au salaire moyen versé en qualité d’assistant de bureau selon les recommandations salariales de la Société des employés de commerce (SEC) (2011-2012). S’agissant du revenu sans invalidité, l’intimé s’est référé à la valeur centrale médiane (pour précision : après trente ans révolus, cette fraction est de 100% et représente donc la valeur entière de la médiane [cf. tableau sous art. 26 al. 1 RAI]), actualisée chaque année telle qu’elle ressort de l’enquête de l’Office fédéral de la statistique sur la structure des salaires, soit, en 2013, 77'000 francs. Par comparaison de ce dernier revenu avec le salaire annuel exigible – à savoir 66'990 fr., un montant qu'il n'y a au demeurant pas lieu de critiquer –, il s’avère que l’incapacité de gain de l’assuré est de 13%, taux insuffisant pour ouvrir le droit à une rente d’invalidité.</w:t>
      </w:r>
    </w:p>
    <w:p>
      <w:r>
        <w:rPr>
          <w:b/>
        </w:rPr>
        <w:t>E. 7</w:t>
      </w:r>
    </w:p>
    <w:p>
      <w:r>
        <w:t>a) En définitive, le recours, mal fondé, doit être rejeté et la décision attaquée confirmée. b) En dérogation à l'art. 61 let. a LPGA, la procédure de recours en matière de contestations portant sur l'octroi ou le refus de prestations d'invalidité devant le tribunal cantonal des assurances est soumise à des frais de justice. La partie dont les conclusions sont rejetées supporte les frais de procédure (art. 69 al.1bis LAI et 49 al. 1 LPA-VD, applicable par renvoi des art. 91 et 99 LPA-VD). En l'espèce, compte tenu de l'ampleur de la procédure, les frais de justice doivent être arrêtés à 400 fr. et sont mis à la charge du recourant, qui succombe. Le présent arrêt est rendu sans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