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935 vom 8. Oktober 2015</w:t>
      </w:r>
    </w:p>
    <w:p>
      <w:r>
        <w:t>VD Tribunal cantonal, 2015-10-08, FR</w:t>
      </w:r>
    </w:p>
    <w:p>
      <w:r>
        <w:rPr>
          <w:b/>
        </w:rPr>
        <w:t xml:space="preserve">Quelle: </w:t>
      </w:r>
      <w:r>
        <w:t>https://mcp.opencaselaw.ch/entscheid/vd_findinfo_Arr_t___2015___935</w:t>
      </w:r>
    </w:p>
    <w:p>
      <w:r>
        <w:t>FR: VD_FINDINFO Arrêt / 2015 / 935 du 8 octobre 2015</w:t>
      </w:r>
    </w:p>
    <w:p>
      <w:r>
        <w:t>IT: VD_FINDINFO Arrêt / 2015 / 935 del 8 ottobre 2015</w:t>
      </w:r>
    </w:p>
    <w:p>
      <w:pPr>
        <w:pStyle w:val="Heading2"/>
      </w:pPr>
      <w:r>
        <w:t>Regeste</w:t>
      </w:r>
    </w:p>
    <w:p>
      <w:r>
        <w:t>RELATIONS PERSONNELLES, REJET DE LA DEMANDE, SUPPRESSION{EN GÉNÉRAL}, PROVISOIRE | 273 CC, 274 al. 2 CC, 445 CC, 450 CC</w:t>
      </w:r>
    </w:p>
    <w:p>
      <w:pPr>
        <w:pStyle w:val="Heading2"/>
      </w:pPr>
      <w:r>
        <w:t>Erwägungen</w:t>
      </w:r>
    </w:p>
    <w:p>
      <w:r>
        <w:rPr>
          <w:b/>
        </w:rPr>
        <w:t>E. 1</w:t>
      </w:r>
    </w:p>
    <w:p>
      <w:r>
        <w:t>Le recours est dirigé contre une ordonnance de mesures provision­nelles du juge de paix ordonnant la suspension provisoire du droit de visite d’un père sur sa fille mineure (art. 273 ss CC [Code civil suisse du 10 décembre 1907 ; RS 210). a)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CC,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b) Interjeté en temps utile par le père de la mineure concernée,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la mère de l’enfant n’a pas été invitée à se déterminer (art. 312 al. 1 CPC, applicable par renvoi de l'art. 450f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rPr>
          <w:b/>
        </w:rPr>
        <w:t>E. 3</w:t>
      </w:r>
    </w:p>
    <w:p>
      <w:r>
        <w:t>Le recourant conteste la suspension provisoire de son droit de visite sur sa fille et considère que le premier juge aurait dû requérir la production d’un certificat médical avant de rendre la décision litigieuse. Il fait valoir qu’il est d’origine nigériane, qu’il est arrivé en Suisse comme requérant d’asile, que le contrôle d’identité survenu au mois de mai 2015 a fait ressurgir des souvenirs douloureux, qu’il a été déstabilisé, que la lettre du Commandant de la Police cantonale vaudoise l’a complètement rassuré, qu’il n’a jamais souffert de problèmes psychiatriques, que l’on ne saurait le priver de toutes relations person­nelles avec sa fille en raison d’un sentiment d’inquié­tude et qu’il n’y a aucune urgence à suspendre son droit de visite. a) Les art. 273 ss CC relatifs aux relations personnelles d'un enfant avec ses père et mère ou des tiers n'ont pas été modifiés par l'entrée en vigueur du nouveau droit, de sorte que la doctrine et la jurisprudence rendues avant le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Le Tribunal fédéral relève à cet égard qu’il est unanimement reconnu que le rapport de l’enfant avec ses deux parents est essentiel et qu’il peut jouer un rôle décisif dans le processus de recherche d’identité de l’enfant (TF 5A_586/2012 du 12 décembre 2012 consid. 4.2;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JdT 2005 I 206). b)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 4.1 publié in La pratique du droit de la famille [FamPra.ch] 2013 p. 806; TF 5A_172/2012 du 16 mai 2012 consid. 4.1.1, rés. in Revue de la protection des mineurs et des adultes [RMA] 2012 p. 300). Les conflits entre les parents ne constituent pas un motif de restreindre le droit de visite. Une telle limitation n'est justifiée que s'il y a lieu d'admettre, au regard des circonstances, que l'octroi d'un droit de visite usuel compromet le bien de l'enfant (ATF 131 III 209 consid. 5 précité ; CREC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c) Conformément à l’art. 445 al. 1 CC, applicable par renvoi de l’art. 314 al. 1 CC,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 er septembre 2008 consid. 3 ; cf. art. 261 al. 1 CPC). Toute mesure provisionnelle implique qu’il y ait urgence. Il faut donc qu’il y ait nécessité d’une protection immédiate en raison d’un danger imminent menaçant les droits de l’intéressé (Hohl, Procédure civile, Tome II, 2 e éd., Berne 2010, n. 1758 p. 322).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consid. 2.2). d) En l’espèce, il résulte de l’examen du dossier que les inquiétudes exprimées par B.C.________ justifient, en l’état, la suspension des relations personnelles du recourant avec sa fille. En effet, quoi qu’en dise le recourant, les réactions qu’il a eues à la suite du contrôle effectué par la police en mai 2015 sont excessives. Le recourant, qui s’est senti menacé et harcelé par la police à la suite d’un simple contrôle d’identité, est allé jusqu’à dire à sa fille âgée de bientôt neuf ans qu’ils étaient tous en danger à cause de la police qui pouvait les tuer. Ces réactions démesurées du recourant ne manquent pas d’inquiéter et sont à l’évidence suscep­tibles de mettre en danger le bien-être de sa fille C.C.________. Dans ces circonstances, il a été rendu suffisamment vraisemblable, à ce stade, que le bien-être et le développement de C.C.________ étaient compromis. C’est donc à bon droit que le premier juge a prononcé la suspension provisoire des relations personnelles du recourant avec sa fille jusqu’à ce que celui-ci consulte le Dr [...], lequel devra attester de sa bonne santé psychique. La durée de la suspension du droit de visite du recourant, limitée dans le temps, répond au principe de propor­tion­nalité dès lors qu’elle dépend de la seule volonté du recourant de consulter le Dr [...] et que ce dernier a déjà pris contact avec lui afin de prendre rendez-vous pour une ou deux consultations. Le recourant pourra ainsi demander la levée de cette mesure dès que le Dr [...] aura attesté de sa bonne santé psychique. Certes le premier juge aurait pu requérir un tel certificat médical avant de rendre sa décision, mais au vu des éléments au dossier, ainsi que des déclarations et du comportement du recourant à son audience, le premier juge aurait dû, dans le même temps, pro­non­cer la suspension du droit de visite de l’intéressé à titre préprovisionnel, de sorte que le résultat aurait été identique. Partant, la décision entreprise, soucieuse du bien de l’enfant et conforme au principe de proportionnalité, ne prête pas le flanc à la critique.</w:t>
      </w:r>
    </w:p>
    <w:p>
      <w:r>
        <w:rPr>
          <w:b/>
        </w:rPr>
        <w:t>E. 4</w:t>
      </w:r>
    </w:p>
    <w:p>
      <w:r>
        <w:t>En définitive, le recours interjeté par A.C.________ doit être rejeté et l’ordonnance entreprise confirmée. Le présent arrêt peut être rendu sans frais judiciaires (art. 74a al. 4 TFJC [Tarif du 28 septembre 2010 des frais judiciaires civils ; RSV 270.11.5]). Vu le sort du recours, il n’y a pas lieu d’allouer des dépens au recourant. Par ces motifs, la Chambre des curatelles du Tribunal cantonal, statuant à huis clos, prononce : I. Le recours est rejeté. II. La décision est confirmée. III. L’arrêt est rendu sans frais. IV. L'arrêt motivé est exécutoire. La présidente :              La greffière : Du Le dispositif de l'arrêt qui précède est communiqué par écrit aux intéressés. La greffière : Du L'arrêt qui précède, dont la rédaction a été approuvée à huis clos, est notifié à : ‑ Me Anne-Louise Gilliéron (pour A.C.________), ‑ Mme B.C.________, et communiqué à : ‑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