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885 vom 30. Oktober 2015</w:t>
      </w:r>
    </w:p>
    <w:p>
      <w:r>
        <w:t>VD Tribunal cantonal, 2015-10-30, FR</w:t>
      </w:r>
    </w:p>
    <w:p>
      <w:r>
        <w:rPr>
          <w:b/>
        </w:rPr>
        <w:t xml:space="preserve">Quelle: </w:t>
      </w:r>
      <w:r>
        <w:t>https://mcp.opencaselaw.ch/entscheid/vd_findinfo_Arr_t___2015___885</w:t>
      </w:r>
    </w:p>
    <w:p>
      <w:r>
        <w:t>FR: VD_FINDINFO Arrêt / 2015 / 885 du 30 octobre 2015</w:t>
      </w:r>
    </w:p>
    <w:p>
      <w:r>
        <w:t>IT: VD_FINDINFO Arrêt / 2015 / 885 del 30 ottobre 2015</w:t>
      </w:r>
    </w:p>
    <w:p>
      <w:pPr>
        <w:pStyle w:val="Heading2"/>
      </w:pPr>
      <w:r>
        <w:t>Regeste</w:t>
      </w:r>
    </w:p>
    <w:p>
      <w:r>
        <w:t>RÉDUCTION DE LA PRESTATION D'ASSURANCE, INDEMNITÉ JOURNALIÈRE, BAGARRE, ACCIDENT | 39 LAA, 49 al. 2 let. a OLAA</w:t>
      </w:r>
    </w:p>
    <w:p>
      <w:pPr>
        <w:pStyle w:val="Heading2"/>
      </w:pPr>
      <w:r>
        <w:t>Erwägungen</w:t>
      </w:r>
    </w:p>
    <w:p>
      <w:r>
        <w:rPr>
          <w:b/>
        </w:rPr>
        <w:t>E. 8</w:t>
      </w:r>
    </w:p>
    <w:p>
      <w:r>
        <w:t>février 2014 et ne saurait prétendre avoir été agressé de manière imprévisible et inattendue alors qu’il était allé de son propre chef vers E.________ et s’était immiscé dans une conversation que celui-ci tenait avec une tierce personne pour lui asséner des reproches. L’intimée a considéré que les propos du recourant, qui avait dit à son opposant qu’il avait de la chance que son verre était vide sinon il le lui aurait jeté à la figure, relevaient clairement de la provocation et impliquaient le risque que l’on en vienne à des voies de fait, précisant que de telles paroles ne pouvaient être comparées au rappel d’une limitation de vitesse même énoncé sur un ton ferme tel qu’il ressortait d’un exemple jurisprudentiel cité par l’intéressé dans son recours. Elle a encore indiqué que la participation à une bagarre n’était pas seulement réalisée par la participation à un conflit physique proprement dit et qu’il était suffisant d’adopter un comportement qui, considéré objectivement, comprenait le risque de déboucher sur des voies de faits ou d’en entraîner, précisant que le fait de savoir si la personne assurée avait reconnu ou aurait dû reconnaître le risque d’un conflit physique était seul déterminant. S’agissant du lien de causalité, l’intimée a exposé que compte tenu du contexte, il ne pouvait être retenu que la réaction de E.________ de riposter et balafrer la tête du recourant était tellement extraordinaire, inattendue et disproportionnée au point de reléguer à l’arrière-plan le rôle causal joué par la participation de ce dernier à la bagarre, et ce en dépit des conséquences malheureuses qui en avaient résulté. Par réplique du 17 août 2015, le recourant a maintenu les conclusions de son recours. Il a relevé que le fait de s’adresser à un tiers sur une terrasse pour critiquer son attitude ou ses propos n’impliquait pas d’office le risque qu’une bagarre s’en suive, que les propos adressés ne sortaient pas d’un cadre usuel, qu’ils n’avaient rien qui pouvait laisser présager une réaction aussi vive et que la réaction de l’agresseur était tellement disproportionnée qu’elle ne pouvait et ne devait pas être envisagée par la victime, précisant qu’un lien de causalité entre ses déclarations et les coups portés par son agresseur ne saurait être retenu. Dans sa duplique du 22 septembre 2015, l’intimée a indiqué qu’il ressortait de l’arrêt rendu par la Cour d’appel pénale le 28 août 2015, à l’instar du jugement de première instance, que le recourant avait adopté un comportement inadéquat lors de l’événement du 8 février 2014 : ivre, il s’était montré provocateur en prenant à partie E.________ et en le touchant avec son verre à bière. Elle a dès lors considéré que l’intéressé avait joué un rôle actif dans cette altercation et ne saurait prétendre avoir été agressé de manière imprévisible et inattendue.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correspond à la moitié des indemnités journalières auxquelles le recourant pouvait prétendre du 11 février au 24 novembre 2014 qui a été déduite par l’intimée, soit 74 fr. 20 durant 287 jours, étant précisé que les dates de naissance et d’extinction du droit n’ont pas été contestées. Dès lors qu’elle est inférieure à 30'000 fr. (74 fr. 20 x 287 jours),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était fondée à opérer une réduction de moitié sur les prestations en espèces versées au recourant au motif que ce dernier aurait pris part à une bagarre. On relèvera en revanche que les dates de naissance et d’extinction du droit à ces prestations ne sont pas contestées, ni le montant de l’indemnité journalière en tant que tel.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fédérale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(TFA U 361/98 du 10 mars 2000 consid. 2b ; ATF 107 V 235 consid. 2a, rendu sous l’empire de l’ancienne loi fédérale du 13 juin 1911 sur l’assurance-maladie [LAMA] mais dont les considérants demeurent valables).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A titre préalable, il convient de relever qu’il n’existe en l’occurrence aucune raison de s’écarter des constatations de faits et de l’appréciation du juge pénal. Le recourant ne démontre d’ailleurs pas le contraire. A l’instar de l’intimée, on s’en tiendra donc aux faits tels qu’ils ont été constatés par les autorités pénales. b) En l’espèce, les autorités pénales ont retenu que le recourant, fortement sous l’influence de l’alcool et tenant un verre à bière à la main, s’en est pris à E.________, qui discutait avec une tierce personne, et s’est immiscé dans leur conversation en reprochant au prénommé les propos dévalorisants qu’il aurait tenu à propos des Suisses, ajoutant que si son verre avait été plein, il le lui aurait jeté à la figure. Il a ensuite touché le visage de son opposant avec son verre avant que l’altercation physique n’éclate. Si le recourant n’a pas été condamné à l’issue de la procédure pénale et n’a pas pris activement part à de véritables actes de violence physique, force est de constater qu’il a joué au préalable un rôle dans l’altercation au cours de laquelle il a été blessé. En effet, en s’immisçant, éméché et muni d’un verre, dans la conversation qu’un inconnu tenait avec un tiers devant un établissement public pour lui reprocher ses propos et le provoquer en lui disant que si son verre avait été plein il le lui aurait jeté à la figure ainsi qu’en le touchant au visage avec son verre, l’intéressé aurait raisonnablement pu se rendre compte qu’il s’engageait dans une altercation qui recélait le risque de commission d’actes de violence physique. Ce faisant, il s’est mis automatiquement dans la zone de danger exclue par l’assurance-accidents. Les deux instances pénales ont d’ailleurs qualifié le comportement préalable du recourant de provocateur envers son agresseur. Compte tenu de son attitude, il y a lieu de retenir que l’intéressé a participé à une rixe ou une bagarre au sens de l’art. 49 al. 2 let. a OLAA. Contrairement à ce que soutient le recourant, la réaction de son agresseur n’était pas si imprévisible et inattendue qu’il faille admettre qu’il n’existe pas de lien de causalité. La violence des propos que le recourant a adressés à E.________, qu’il ne connaissait pas, tels qu’ils ont été retranscrits dans sa plainte du 8 février 2014, soit « T’as de la chance que mon verre est vide sinon je te le jetterai à la gueule ! », et le fait de le toucher au visage avec son verre constituent manifestement une provocation qui est de nature, selon le cours ordinaire des choses et l’expérience de la vie, à entraîner une réaction de violence telle qu’elle s’est effectivement produite, ce d’autant plus que ces propos ont été proférés alors qu’il s’avançait vers son opposant muni dudit verre après s’être immiscé de son propre chef dans la conversation qu’il tenait avec une tierce personne. Se référant à un cas jugé par le Tribunal fédéral (TF 8C_341/2013 du 15 avril 2014) qu’il considère comme analogue au sien, dans lequel le lien de causalité avait été nié s’agissant d’un assuré qui avait été frappé après avoir rappelé à un motocycliste l’existence d’une limitation de vitesse, le recourant soutient que son comportement préalable n’était pas de nature à engendrer une réaction de violence. Cet exemple ne lui est toutefois d’aucun secours. En effet, dans cette affaire ( cf. consid. 5), la Haute Cour a retenu que l’assuré avait émis une remarque en relation avec la vitesse à laquelle roulait un motocycliste et que les termes employés, quand bien même auraient-ils été énoncés sur un ton de fermeté, étaient restés corrects et n’avaient en aucune manière dépassé les limites de la civilité. Ces circonstances ne sont à l’évidence pas comparables avec celles du cas d’espèce dès lors que le fait de dire à un inconnu « T’as de la chance que mon verre est vide sinon je te le jetterai à la gueule ! » et de le toucher au visage avec ledit verre dépasse manifestement les limites de la civilité et était donc de nature à impliquer le risque que l’on en vienne à des actes de violence physique. Au vu de ce qui vient d’être exposé,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l’espèce, Me Treyvaud a produit une liste de ses opérations le 6 octobre 2015 faisant état d’un temps consacré au dossier de 8 heures et 10 minutes et de débours d’un montant de 79 fr. 50, laquelle a été contrôlée au regard de la procédure et rentre globalement dans le cadre du bon accomplissement du mandat. Le montant des honoraires doit ainsi être arrêté à 1'587 fr. 60 (8 1 / 6 heures x 180 fr. + TVA 8%) et celui des débours à 85 fr. 90 (79 fr. 50 + TVA 8%). Le montant total de l’indemnité d’office de Me Treyvaud s’élève dès lors à 1'673 fr. 50.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juge unique prononce : I. Le recours est rejeté. II. La décision sur opposition rendue le 6 mars 2015 par la Caisse nationale suisse d’assurance en cas d’accidents est confirmée. III. Il n’est pas perçu de frais judiciaires ni alloué de dépens. IV. L’indemnité d’office de Me Paul-Arthur Treyvaud, conseil du recourant, est arrêtée à 1'673 fr. 50 (mille six cent septante-trois francs et cinquante centimes), TVA et débours compris. V. Le bénéficiaire de l’assistance judiciaire est, dans la mesure de l’art. 123 CPC, applicable par renvoi de l’art. 18 al. 5 LPA-VD, tenu au remboursement de l’indemnité du conseil d’office mis à la charge de l’Etat. La juge unique :              Le greffier : Du L'arrêt qui précède est notifié à : ‑ Me Paul-Arthur Treyvaud (pour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