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878 vom 26. November 2015</w:t>
      </w:r>
    </w:p>
    <w:p>
      <w:r>
        <w:t>VD Tribunal cantonal, 2015-11-26, FR</w:t>
      </w:r>
    </w:p>
    <w:p>
      <w:r>
        <w:rPr>
          <w:b/>
        </w:rPr>
        <w:t xml:space="preserve">Quelle: </w:t>
      </w:r>
      <w:r>
        <w:t>https://mcp.opencaselaw.ch/entscheid/vd_findinfo_Arr_t___2015___878</w:t>
      </w:r>
    </w:p>
    <w:p>
      <w:r>
        <w:t>FR: VD_FINDINFO Arrêt / 2015 / 878 du 26 novembre 2015</w:t>
      </w:r>
    </w:p>
    <w:p>
      <w:r>
        <w:t>IT: VD_FINDINFO Arrêt / 2015 / 878 del 26 novembre 2015</w:t>
      </w:r>
    </w:p>
    <w:p>
      <w:pPr>
        <w:pStyle w:val="Heading2"/>
      </w:pPr>
      <w:r>
        <w:t>Regeste</w:t>
      </w:r>
    </w:p>
    <w:p>
      <w:r>
        <w:t>ATTEINTE À LA SANTÉ PHYSIQUE, ATTEINTE À LA SANTÉ PSYCHIQUE, SERVICE MÉDICAL RÉGIONAL, MÉDECIN | 28 al. 1 LAI, 4 al. 1 LAI, 6 LPGA, 7 al. 1 LPGA, 8 al. 1 LPGA</w:t>
      </w:r>
    </w:p>
    <w:p>
      <w:pPr>
        <w:pStyle w:val="Heading2"/>
      </w:pPr>
      <w:r>
        <w:t>Erwägungen</w:t>
      </w:r>
    </w:p>
    <w:p>
      <w:r>
        <w:rPr>
          <w:b/>
        </w:rPr>
        <w:t>E. 10</w:t>
      </w:r>
    </w:p>
    <w:p>
      <w:r>
        <w:t>mg 1x/j, Venlafaxine 150 1x/j, Euthyrox 150 µg. Par duplique du 5 mai 2015, l’intimé a maintenu ses conclusions, renvoyant à un avis du 14 avril 2015 du SMR, invité à se prononcer sur les rapports du Centre K.________, ainsi que sur le rapport du Dr W.________. Le SMR a considéré que le dernier rapport du Centre K.________ était trop bref pour juger de l’évolution de l’état de santé de la recourante. Le maintien du diagnostic d’épisode dépressif d’intensité sévère n’était pas cohérent avec l’évolution favorable décrite dans les rapports d’A.________. Finalement, l’on était dans l’ignorance des résultats de l’adaptation thérapeutique concernant l’atteinte respiratoire. La description de cette dernière ne laissait toutefois pas présager de la présence de limitations fonctionnelles durablement incapacitantes. L’intimé a également produit un courrier de X.________ Assurance adressé le 17 avril 2015 à la recourante, observant notamment que le Dr W.________ n’attestait pas d’incapacité de travail en lien avec les troubles de sa patiente. Invitée à déposer d’éventuelles déterminations, la recourante ne s’est pas prononcée à ce jour. E n d r o i t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Le litige porte sur le droit de la recourante aux prestations de l’assurance-invalidité, plus particulièrement une rente, au regard des atteintes à sa santé.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b) Pour pouvoir fixer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précité consid. 4.2 ; 9C_773/2007 du 23 juin 2008 consid. 2.1 ; 9C_168/2007 précité consid. 4.2). Un rapport médical qui émane d'un service médical régional au sens de l'art. 69 al. 4 RAI [règlement du 17 janvier 1961 sur l'assurance-invalidité, RS 831.201], a valeur probante s'il remplit les exigences requises par la jurisprudence sur le contenu des rapports médicaux rappelées ci-dessus (TF 9C_600/2010 du 21 janvier 2011 consid. 2 ; TFA I 573/04 du 10 novembre 2005 consid. 5.5 ; I 523/02 du 28 octobre 2002 consid. 3). Les avis médicaux du SMR ont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4. a) Concernant en premier lieu le trouble dépressif invoqué par la recourante, il convient de rappeler que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(cf. ATF 131 V 49 consid. 1.2 ; 127 V 294 consid. 4c in fine et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En l’espèce, le Dr  F.________ a retenu le diagnostic de « trouble dépression ». Ce médecin n’a toutefois pas précisé de classification concernant cette atteinte. Il n’a pas non plus motivé son diagnostic, mais a en revanche adressé sa patiente au Centre K.________. La Dresse R.________ et la psychologue C.________ ont retenu le 5 mai 2014 le diagnostic d’épisode dépressif sévère sans symptômes psychotiques F32.2, incapacitant depuis le 25 octobre 2013. Elles ont toutefois constaté au moment de la rédaction de leur rapport déjà une amélioration de l’état de santé de la recourante depuis son traitement au Centre, lequel pouvait encore réduire les restrictions qu’elle présentait à l’exercice de son activité habituelle. Une reprise de l’activité professionnelle pouvait être attendue et un soutien pour que la recourante puisse apprendre un nouveau métier était préconisé. Concernant plus précisément les restrictions présentées par leur patiente, il a été relevé que cette dernière ressentait une grande fatigue, des maux de tête et des moments d’oubli complet sur ce qu’elle devait faire. Si l’on comprend que ses restrictions sont susceptibles de diminuer la capacité de travail d’un assuré, l’on ne voit en revanche pas en quoi cela motiverait un changement d’activité, plus particulièrement pourquoi elles empêcheraient la recourante d’exercer une activité dans le domaine de la restauration mais pas dans un autre domaine. La Dresse R.________ et la psychologue C.________ ne donnent aucune explication à ce sujet. Elles ont ensuite mentionné une perte d’intérêt pour une activité dans la restauration, un dégoût pour les personnes consommant de l’alcool et le fait la recourante ne supportait plus l’ambiance des bars. Ceci ne relève manifestement pas du domaine médical, ce qu’elles ne soutiennent du reste pas. Elles ont d’ailleurs rangé ces observations dans la catégorie des raisons non médicales ayant une influence sur la capacité de travail dans leur rapport du 26 juin 2014. L’on retient ainsi de ces deux rapports que les raisons médicales réduisant alors la capacité de travail de la recourante étaient en amélioration, la motivation de l’intéressée pour changer de profession ne relevant pas du domaine médical. L’on observe que dans leur rapport du 26 novembre 2014, la Dresse R.________ et la psychologue C.________ mentionnaient encore un épisode dépressif sévère. Elles n’ont cependant pas expliqué pourquoi leurs constatations n’allaient pas dans le sens de l’amélioration observée en mai 2014. De plus, les résultats des tests effectués les 5 et 12 novembre 2014 faisaient état d’un épisode dépressif moyen, ce qui entre en contradiction avec le diagnostic retenu, sans toutefois que cela soit motivé. Finalement, si elles ont reconnu l’influence de facteurs non médicaux dans l’incapacité de travail de la recourante, elles n’ont en revanche pas précisé pour quelle part ces facteurs contribuaient à l’incapacité de travail, ni de quelle manière et à quel degré des facteurs médicaux en étaient la cause. Incomplets et peu motivés, les rapports du Centre K.________ ne suffisent pas à retenir l’existence d’une atteinte invalidante au sens de l’assurance-invalidité et le SMR doit être suivi dans ce sens. Le SMR peut également être suivi lorsqu’il observe que le diagnostic d’épisode dépressif sévère ne concorde pas avec les observations faites par A.________. En effet, il en ressort que l’état psychique de la recourante s’était amélioré, et le centre était favorable à une reprise d’activité, ce qui motivait manifestement également la recourante, bien que dans d’autres domaines que celui de la restauration. A.________ n’a pas fait état de restrictions que la recourante aurait présenté pour ce type d’activités. L’évolution favorable de l’état de santé psychique de la recourante, tout comme son désir de ne plus travailler dans son activité habituelle, non motivé par des facteurs médicaux objectivés, ressortent également des constatations faites par X.________ Assurance à l’occasion des entretiens tenus à son domicile. Les faits rapportés vont dans le sens de la dépression réactionnelle retenue par le SMR. La recourante a du reste confirmé cette analyse en observant être sortie de sa dépression (cf. rapport d’A.________ du 4 novembre 2014). Dans la mesure où les facteurs psychosociaux, tels que le manque de formation, des problèmes linguistiques, des conflits avec un supérieur hiérarchique, ou le fait de ne plus vouloir travailler dans un domaine, ne relèvent pas de l’assurance-invalidité et ne peuvent servir de base à l’octroi de prestations (ATF 127 V 299 consid. 5a ; TF 9C_428/2014 consid. 4.3 ; 9C_697/2013 consid. 3.1 ; TFA I 355/04 consid. 5a), il est retenu que la recourante ne présente pas une atteinte à sa santé durable justifiant l’octroi d’une rente. Le SMR dont les conclusions emportent la conviction au degré de la vraisemblance prépondérante, peut être suivi. b) La recourante fait ensuite valoir des restrictions importantes liées à son asthme, atteinte qu’elle a mentionnée comme incapacitante autant auprès de X.________ Assurance que d’A.________. L’on relève en premier lieu que le Dr F.________ a estimé cette atteinte comme étant sans influence sur la capacité de travail dans son rapport du 10 juin 2014. Le seul autre rapport médical traitant en particulier de ce trouble produit par la recourante est celui du Dr W.________ qui retient un asthme allergique. Ce médecin a constaté que les fonctions pulmonaires de sa patiente montraient un syndrome obstructif léger. Il a jugé nécessaire de modifier le traitement, mais n’a en revanche mentionné aucune incapacité de travail en lien avec cette atteinte, ni limitations fonctionnelles dans les activités de la recourante. Par ailleurs, la recourante souffre depuis son enfance de l’asthme, ce qui ne l’avait pas empêché de travailler. Une détérioration n’a pas été constatée, ni n’a été soulevée. Le SMR peut dès lors être suivi dans son analyse également sur ce plan. Concernant d’éventuelles autres atteintes physiques, si le Dr F.________ a évoqué une « incapacité pour la marche » ainsi que certaines limitations comme les activités uniquement en position assise ou uniquement debout, s’accroupir, se mettre à genou ou porter des charges (cf. rapport du 10 juin 2014), il n’a toutefois pas retenu de diagnostics en lien avec ses limitations. Quant aux troubles de la thyroïde, ils ont été jugés comme sans influence sur la capacité de travail. 5. Partant, il sied de constater que l'intimé n'a pas violé le droit fédéral en rejetant, sur la base des conclusions convaincantes du SMR, la demande de prestations formée par la recourante, les griefs formulés par cette dernière devant être écartés. Le recours doit en conséquence être rejeté, ce qui entraîne la confirmation de la décision attaquée. 6.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la recourante, sont arrêtés à 400 francs. Vu l’issue du recours, la recourante n’obtenant pas gain de cause et n’étant au demeurant pas représentée,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