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876 vom 7. Oktober 2015</w:t>
      </w:r>
    </w:p>
    <w:p>
      <w:r>
        <w:t>VD Tribunal cantonal, 2015-10-07, FR</w:t>
      </w:r>
    </w:p>
    <w:p>
      <w:r>
        <w:rPr>
          <w:b/>
        </w:rPr>
        <w:t xml:space="preserve">Quelle: </w:t>
      </w:r>
      <w:r>
        <w:t>https://mcp.opencaselaw.ch/entscheid/vd_findinfo_Arr_t___2015___876</w:t>
      </w:r>
    </w:p>
    <w:p>
      <w:r>
        <w:t>FR: VD_FINDINFO Arrêt / 2015 / 876 du 7 octobre 2015</w:t>
      </w:r>
    </w:p>
    <w:p>
      <w:r>
        <w:t>IT: VD_FINDINFO Arrêt / 2015 / 876 del 7 ottobre 2015</w:t>
      </w:r>
    </w:p>
    <w:p>
      <w:pPr>
        <w:pStyle w:val="Heading2"/>
      </w:pPr>
      <w:r>
        <w:t>Regeste</w:t>
      </w:r>
    </w:p>
    <w:p>
      <w:r>
        <w:t>RELATIONS PERSONNELLES, MESURE PROVISIONNELLE, INTERNATIONAL | 273 CC, 426 CC, 450 CC, 85 al. 1 LDIP</w:t>
      </w:r>
    </w:p>
    <w:p>
      <w:pPr>
        <w:pStyle w:val="Heading2"/>
      </w:pPr>
      <w:r>
        <w:t>Erwägungen</w:t>
      </w:r>
    </w:p>
    <w:p>
      <w:r>
        <w:rPr>
          <w:b/>
        </w:rPr>
        <w:t>E. 1</w:t>
      </w:r>
    </w:p>
    <w:p>
      <w:r>
        <w:t>Le recours est dirigé contre une ordonnance de mesures provisionnelles du juge de paix statuant sur les modalités de l’exercice du droit de visite d’un parent sur son enfant mineur (art. 273 ss CC [Code civil suisse du 10 décembre 1907 ; RS 210]).</w:t>
      </w:r>
    </w:p>
    <w:p>
      <w:r>
        <w:rPr>
          <w:b/>
        </w:rPr>
        <w:t>E. 1.1</w:t>
      </w:r>
    </w:p>
    <w:p>
      <w:r>
        <w:t>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op. cit.,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Conformément à l'art. 450d CC, la Chambre des curatelles donne à la justice de paix (art.</w:t>
      </w:r>
    </w:p>
    <w:p>
      <w:r>
        <w:rPr>
          <w:b/>
        </w:rPr>
        <w:t>E. 1.2</w:t>
      </w:r>
    </w:p>
    <w:p>
      <w:r>
        <w:t>En l’espèce, interjeté en temps utile par la mère du mineur concerné, le présent recours est recevable. Il en va de même des déterminations du SPJ ainsi que des pièces produites en deuxième instance, si tant est qu’elles ne figuraient pas déjà au dossier. L’autorité de protection a été consultée conformément à l’art. 450d al. 1 CC et a renoncé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2.2 2.2.1 Dès lors que la cause présente un élément d’extranéité, il incombe au juge de vérifier la compétence des autorités suisses et le droit applicable.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Cette convention, entrée en vigueur en 2009 pour la Suisse et en 2011 pour l’Allemagne,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b et 5 à 14 CLaH 96 ; TF 5A_40/2014 du 17 avril 2014 c.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 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En l’occurrence, au moment du dépôt de la requête de A.X.________ devant le juge de paix du district de Morges, B.X.________ avait sa résidence habituelle chez sa mère, à [...], et les autorités suisses sont compétentes pour statuer sur la question des relations personnelles de l’intimé à l’égard de son fils. 2.2.2 Selon l’art. 275 al. 1 CC, l’autorité de protection de l’enfant du domicile de l’enfant est compétente pour prendre les mesures nécessaires concernant les relations personnelles ; la même compétence appartient en outre à l’autorité de protection de l’enfant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I et 5 let. j LVPAE). En l’espèce, la décision a été rendue par le juge de paix, qui a fondé sa compétence sur l’art. 275 al. 1 CC. Ce magistrat a procédé à l’audition des parents lors de son audience du 29 juillet 2015, de sorte que le droit d’être entendu de ceux-ci a été respecté (cf. art. 447 al. 1 CC). 2.3 La décision attaquée est donc formellement correcte et peut être examinée sur le fond par la cour de céans, peu important à cet égard que la recourante ait intitulé son acte appel et non recours. 3. 3.1 En premier lieu, la recourante reproche à l’autorité de protection d’avoir considéré que la proposition du rapport d’évaluation du SPJ allait dans le sens des conclusions de A.X.________ et d’en avoir déduit qu’il convenait d’accorder à     celui-ci un droit de visite mensuel sur son fils du vendredi soir à 16 heures au dimanche soir à 19 heures, à charge pour le père d’amener l’enfant à son domicile et à charge pour la mère de ramener l’enfant à son domicile, ainsi qu’un droit de visite d’une fin de semaine par mois à [...], du vendredi soir à 18 heures au dimanche à 18 heures. Elle soutient que l’âge de l’enfant contrevient à l’exercice d’un droit de visite à l’extérieur et exige que les relations personnelles soient limitées à huit heures par jour, sans les nuits. 3.2 Les nouvelles dispositions du Code civil relatives à l’autorité parentale sont entrées en vigueur le 1 er juillet 2014 (RO 2014 357). Selon l’art. 12 al. 1 Tit. Fin. CC, elles sont d’application immédiate. La garde est une composante de l’autorité parentale (sous l’ancien droit : ATF 136 III 353 c. 3.2 ; sous le nouveau droit : TF 5A_266/2015 du 24 juin 2015 et les réf. cit.). Aux termes de l’art. 301a CC, l’autorité parentale inclut le droit de déterminer le lieu de résidence de l’enfant. L’effet a contrario de cette disposition l’emporte lorsque seul l’un des parents exerce l’autorité parentale. S’il entend modifier le lieu de résidence de l’enfant, ce parent en décide seul et le parent n’ayant pas l’autorité parentale ne doit pas pouvoir intervenir pour empêcher le déplacement, qu’il ait lieu en Suisse ou vers l’étranger (Bucher, in La famille dans les relations transfrontalières, Bâle 2013, p. 56). Les art. 273 ss CC relatifs aux relations personnelles d’un enfant avec ses père et mère ou des tiers n’ont pas été modifiés par l’entrée en vigueur du nouveau droit, de sorte que la doctrine et la jurisprudence rendues avant le 1 er janvier 2013 conservent toute leur pertinence. Le parent qui n’a pas l’autorité parentale ou la garde de l’enfant a le droit d’entretenir avec celui-ci les relations personnelles indiquées par les circonstances (art. 273 al. 1 et 4 CC). Il incombe aux parents non mariés de se mettre d’accord sur le champ des relations, qu’ils soient détenteurs conjoints de l’autorité parentale ou non. Au cas où ils n’y parviennent pas ou lorsque la sauvegarde des intérêts de l’enfant l’exige, il appartient à l’autorité de protection d’en fixer l’étendue et les modalités. L’art. 273 al. 3 CC précise que le père ou la mère peut exiger que son droit d’entretenir des relations personnelles avec l’enfant soit réglé (Meier/Stettler, Droit suisse de la filiation, 5 e éd., 2014, n. 763 p. 499). Ce droit peut cependant être limité pour de justes motifs, notamment lorsque le développement corporel, psychique ou moral de l’enfant est compromis, même momentanément, par le comportement du parent avec lequel il est en communauté (art. 274 al 2 CC ; Chaix, in Commentaire romand du CC I, Bâle 2010, n. 20 ad art. 176 CC, p. 1240 ; TF 5A_826/2009 du 22 mars 2010 c. 2.1).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 5.1.2, FamPra.ch 2014 p. 433 ; TF 5A_716/2010 du 23 février 2011 c. 4 et réf., FamPra.ch 2011 p. 491 ; ATF 131 II 209 c. 5 ; 123 II 445 c. 3b). Le droit aux relations personnelles vise à sauvegarder le lien existant entre parents et enfants ;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Le maintien et le développement de ce lien étant évidemment bénéfique pour l’enfant, les relations personnelles doivent donc être privilégiées, sauf si le bien de l’enfant est mis en danger. Pour apprécier le bien de l’enfant, on tiendra compte de manière équitable de l’ensemble des circonstances (art. 4 CC). L’intérêt de l’enfant variera selon son âge, sa santé physique et psychique, et la relation qu’il entretient avec l’ayant droit. La personnalité, la disponibilité (notamment des horaires de travail irréguliers), le lieu d’habitation et le cadre de vie du titulaire du droit devront également être prise en considération ; il en va de même de la situation du parent ou du tiers qui élève l’enfant (état de santé, obligations professionnelles) et de l’éloignement géographique des domiciles. La réglementation proposée par le parent gardien (pour des couples non  mariés) ou arrêtée par l’autorité déterminera la fréquence et la durée des visites. On tiendra compte des difficultés d’organisation tant pour le parent titulaire du droit que pour le parent gardien, en évitant des solutions par trop compliquées (Meier/ Stettler, op. cit . nn. 765-767, pp. 500-502).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201). En Suisse romande, la tendance est de fixer, à défaut d’accord des parties, un « large » droit de visite, qui s’exerce en principe un week-end sur deux et la moitié des vacances scolaires, lorsque l’enfant est en âge de scolarité. En Suisse alémanique, la pratique est influencée par les décisions allemandes et il est souvent décidé que le droit de visite est limité à une ou à deux demi-journées par mois pour des enfants d’âge pré-scolaire ; il porte sur un week-end par mois pour des enfants en âge de scolarité, avec deux à trois semaines de vacances par année (TF 4C.176/2001 du 15 novembre 2001). Les visites peuvent avoir lieu au domicile de l’enfant, de l’ayant-droit ou en un autre lieu. La règle voudra qu’elles s’exercent au domicile du bénéficiaire, sauf pour les nourrissons et les enfants en bas âge (jusqu’à deux ou trois ans) : l’enfant pourra ainsi se familiariser avec le milieu de vie du parent non gardien dans des conditions favorables à l’établissement d’une relation de confiance (Leuba, in Commentaire romand du CC I, Bâle 2010, n. 19 ad art. 273 CC, p. 1716 ; Meier/Stettler, op. cit ., n. 769 p. 504 et note infrapaginale n. 1782 selon laquelle, dans son arrêt 5C.105/2003 du 25 juin 2003, le Tribunal fédéral a jugé que l’autorité cantonale n’avait pas excédé son pouvoir d’appréciation en accordant un droit de visite à l’extérieur pour un enfant âgé de deux ans ; il a laissé ouverte la question de principe quant à la limite d’âge qui serait à fixer). L’éloignement géographique de l’enfant, par suite de déménagement du détenteur de l’autorité parentale exclusive ou de la garde, peut occasionner des difficultés supplémentaires. Sous réserve de l’abus de droit manifeste (art. 2 al. 2 CC), le titulaire du droit n’est en principe pas légitimé à un tel déménagement ; les modalités des relations personnelles devront être déterminées à nouveau pour tenir compte de la modification des circonstances. La fatigue de l’enfant et le stress que lui occasionnent des voyages longs et répétés doivent aussi être pris en considération. Sauf réglementation contraire, il appartient au bénéficiaire du droit d’aller chercher l’enfant et de le ramener chez lui ou au lieu fixé. Dans toute la mesure du possible, les intervenants devraient toutefois favoriser une solution consensuelle prévoyant que le titulaire de la garde amène l’enfant chez le bénéficiaire du droit de visite et que celui-ci le ramène ensuite au domicile du parent gardien à la fin du droit de visite. Par ce biais, les parents manifestent leur soutien et leur accord, ce qui contribue à rassurer l’enfant. Les frais occasionnés par l’exercice du droit de visite sont en principe à la charge de son titulaire (sur le tout : Meier/Stettler, op. cit ., nn. 769-772, pp. 505-507).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(Droit de la protection de l’adulte, Guide pratique COPMA, 2012,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 TF 5A_520/2008 du 1er septembre 2008, c. 3 ; cf. art. 261 al. 1 CPC). 3.3 En l’espèce, si le rapport d’évaluation sur lequel s’est fondé le premier juge n’a été établi que sur la base des seuls dires du père sans que leurs auteurs n’aient rencontré la mère et l’enfant des parties, force est toutefois de constater que la recourante ne conteste pas dans son écriture les éléments factuels mentionnés dans celui-ci, en particulier ceux dont il résulte qu’elle a déménagé plusieurs fois en un an, qu’elle vit désormais auprès de sa mère, dans le sud de l’Allemagne, à quelques kilomètres de la frontière suisse et qu’elle travaille à 40% à [...]. Contrairement à ce que soutient la recourante, l’intérêt d’un enfant de bientôt deux ans ne commande nullement que le droit de visite du père s’exerce principalement au domicile de la mère et grand-mère maternelle, ni qu’il soit limité à quelques heures par jour à l’exclusion des nuits. Un droit de visite aussi limité en l’absence d’autres éléments objectifs que la distance géographique serait même contraire à moyen terme à l’intérêt de l’enfant, lequel est d’établir des contacts distincts avec son père. S’agissant du droit de visite mensuel au domicile du père, il est indéniable qu’il implique un déplacement de quelque trois cents kilomètres dans chaque sens, mais la distance demeure raisonnable et le trajet, qui peut s’effectuer presque exclusivement par l’autoroute, une fois par mois, n’apparaît pas disproportionné aux yeux du SPJ ni susceptible de mettre en danger le bon développement de l’enfant. Dès lors qu’il en va de l’intérêt de l’enfant de se familiariser avec le logement de son père, dont le caractère approprié, confortable et très bien tenu a été souligné, il n’y a pas matière à faire preuve de prudence particulière au motif que les contacts entre le père et l’enfant auraient été longtemps rompus. Ainsi le droit de visite mensuel de l’intimé sur B.X.________, une fois par mois, à son domicile d’ [...], contribuera à établir une relation de confiance entre le père et son fils et doit être maintenu. Il en va de même de l’obligation faite à chacun des parents de participer équitablement aux trajets mensuels entre l’Allemagne et la Suisse. En effet, un double aller et retour pour le père aurait pour conséquences de péjorer notablement les conditions d’exercice de ce droit et, partant, ne serait pas conforme à l’intérêt de l’enfant ; au contraire, la participation des deux parents à la mise en œuvre du droit de visite contribuera à rassurer l’enfant. L’opportunité d’un second droit de visite mensuel du père peut également être confirmée, le principe de l’exercice des relations personnelles à quinzaine en alternance à [...] et à [...] ayant été corroboré par le SPJ. Cependant, la durée de l’exercice du droit de visite du père en Allemagne, du vendredi à 18 heures au dimanche à 19 heures, ne paraît pas compatible avec le bien d’un enfant de cet âge, qui devra chaque mois séjourner à l’hôtel durant quarante-huit heures. Partant, elle doit être réduite en ce sens que le père aura son fils auprès de lui du samedi à 10 heures au dimanche à 19 heures, charge à lui d’aller chercher l’enfant chez sa mère et de l’y ramener.</w:t>
      </w:r>
    </w:p>
    <w:p>
      <w:r>
        <w:rPr>
          <w:b/>
        </w:rPr>
        <w:t>E. 4</w:t>
      </w:r>
    </w:p>
    <w:p>
      <w:r>
        <w:t>En conclusion, le recours de Z.________ doit être très partiellement admis et le chiffre II de l’ordonnance entreprise réformé en ce sens que A.X.________ aura son fils un week-end par mois, à son domicile, du vendredi soir 16 heures au dimanche soir 19 heures, à charge pour lui d’amener l’enfant à son domicile et à charge pour Z.________ de ramener l’enfant à son domicile et qu’il exercera son droit de visite sur son fils un week-end par mois à [...], du samedi matin à 10 heures au dimanche soir à 19 heures, charge au père d’aller chercher l’enfant au domicile de sa mère et de l’y ramener. L’intimé a droit à des dépens très légèrement réduits de deuxième instance, qu’il convient d’arrêter à 1'100 fr. et de mettre à la charge de la recourante. Enfin, les frais judiciaires de deuxième instance sont mis à la charge de la recourante. Par ces motifs, la Chambre des curatelles du Tribunal cantonal, statuant à huis clos, prononce : I. Le recours est très partiellement admis. II. L’ordonnance entreprise est modifiée comme il suit au ch. II de son dispositif : II. Fixe le droit de visite de A.X.________ sur son fils B.X.________ comme suit : - un week-end par mois à son domicile, du vendredi soir 16 heures au dimanche soir 19 heures, à charge pour A.X.________ d’amener l’enfant à son domicile et à charge pour Z.________ de ramener l’enfant à son domicile. - un week-end par mois à [...] du samedi matin à 10 heures au dimanche soir à 19 heures. Elle est confirmée pour le surplus. III. Les frais judiciaires de deuxième instance, arrêtés à 300 fr. (trois cents francs), sont mis à la charge de la recourante. IV. La recourante Z.________ doit payer à l’intimé A.X.________ la somme de 1'100 fr. (mille cent francs) à titre de dépens de deuxième instance. V. L’arrêt motivé est exécutoire. La présidente :              Le greffier : Du</w:t>
      </w:r>
    </w:p>
    <w:p>
      <w:r>
        <w:rPr>
          <w:b/>
        </w:rPr>
        <w:t>E. 7</w:t>
      </w:r>
    </w:p>
    <w:p>
      <w:r>
        <w:t>octobre 2015 Le dispositif de l'arrêt qui précède est communiqué par écrit aux intéressés. Le greffier : Du L'arrêt qui précède, dont la rédaction a été approuvée à huis clos, est notifié à : ‑ Me Marc Cheseaux (pour Z.________), ‑ Me Florian Chaudet (pour A.X.________), et communiqué à : ‑ Service de protection de la jeunesse, Unité d’appui juridique,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