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2015 / 861 vom 9. Oktober 2015</w:t>
      </w:r>
    </w:p>
    <w:p>
      <w:r>
        <w:t>VD Tribunal cantonal, 2015-10-09, FR</w:t>
      </w:r>
    </w:p>
    <w:p>
      <w:r>
        <w:rPr>
          <w:b/>
        </w:rPr>
        <w:t xml:space="preserve">Quelle: </w:t>
      </w:r>
      <w:r>
        <w:t>https://mcp.opencaselaw.ch/entscheid/vd_findinfo_Arr_t___2015___861</w:t>
      </w:r>
    </w:p>
    <w:p>
      <w:r>
        <w:t>FR: VD_FINDINFO Arrêt / 2015 / 861 du 9 octobre 2015</w:t>
      </w:r>
    </w:p>
    <w:p>
      <w:r>
        <w:t>IT: VD_FINDINFO Arrêt / 2015 / 861 del 9 ottobre 2015</w:t>
      </w:r>
    </w:p>
    <w:p>
      <w:pPr>
        <w:pStyle w:val="Heading2"/>
      </w:pPr>
      <w:r>
        <w:t>Regeste</w:t>
      </w:r>
    </w:p>
    <w:p>
      <w:r>
        <w:t>OBLIGATION DE RENSEIGNER, SUSPENSION DE LA PRESTATION D'ASSURANCE, MESURE PRÉPROVISIONNELLE | 31 LPGA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let a et b CPC, applicable par renvoi de l'art. 18 al. 5 LPA-VD), qu’en effet, la partie qui a obtenu l'assistance judiciaire est tenue à remboursement dès qu'elle est en mesure de le faire (cf. art. 123 al. 1 CPC), le Service juridique et législatif fixant les conditions de remboursement (cf. art. 5 RAJ [règlement cantonal vaudois du 2 décembre 2010 sur l'assistance judiciaire en matière civile ; RSV 211.02.3]), que s’agissant du montant de l’indemnité, le conseil d’office a produit la liste de ses opérations, laquelle a été contrôlée au regard de la procédure et rentre globalement dans le cadre du bon accomplissement du mandat, de sorte qu’elle doit être arrêtée à 7 heures et 55 minutes de prestations d’avocat, correspondant à un montant d’honoraires de 1’425 fr. auquel s’ajoutent 71 fr. 25 de débours et 119 fr.70 de TVA, soit un total de 1'615 fr. 95, que vu l'issue du recours, T.________ n’a pas droit à l’allocation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