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811 vom 23. Februar 2016</w:t>
      </w:r>
    </w:p>
    <w:p>
      <w:r>
        <w:t>VD Tribunal cantonal, 2016-02-23, FR</w:t>
      </w:r>
    </w:p>
    <w:p>
      <w:r>
        <w:rPr>
          <w:b/>
        </w:rPr>
        <w:t xml:space="preserve">Quelle: </w:t>
      </w:r>
      <w:r>
        <w:t>https://mcp.opencaselaw.ch/entscheid/vd_findinfo_Arr_t___2015___811</w:t>
      </w:r>
    </w:p>
    <w:p>
      <w:r>
        <w:t>FR: VD_FINDINFO Arrêt / 2015 / 811 du 23 février 2016</w:t>
      </w:r>
    </w:p>
    <w:p>
      <w:r>
        <w:t>IT: VD_FINDINFO Arrêt / 2015 / 811 del 23 febbraio 2016</w:t>
      </w:r>
    </w:p>
    <w:p>
      <w:pPr>
        <w:pStyle w:val="Heading2"/>
      </w:pPr>
      <w:r>
        <w:t>Regeste</w:t>
      </w:r>
    </w:p>
    <w:p>
      <w:r>
        <w:t>SUPPRESSION DE LA PRESTATION D'ASSURANCE, ALLOCATION POUR IMPOTENT, SUPPLÉMENT POUR SOINS INTENSES | 42 LAI, 42bis LAI, 42ter al. 3 LAI, 17 LPGA, 9 LPGA, 37 RAI, 38 RAI, 39 RAI, 88a RAI, 88bis RAI</w:t>
      </w:r>
    </w:p>
    <w:p>
      <w:pPr>
        <w:pStyle w:val="Heading2"/>
      </w:pPr>
      <w:r>
        <w:t>Erwägungen</w:t>
      </w:r>
    </w:p>
    <w:p>
      <w:r>
        <w:rPr>
          <w:b/>
        </w:rPr>
        <w:t>E. 4</w:t>
      </w:r>
    </w:p>
    <w:p>
      <w:r>
        <w:t>A ce stade, il s’agit de déterminer si la recourante remplit néanmoins les conditions mises à la reconnaissance d’une impotence, ainsi qu’elle le soutient pour conclure à l’octroi d’une allocation pour impotent de degré faible.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S’agissant des assurés mineurs, l’art. 42bis al. 5 LAVS précise que les mineurs n’ont pas droit à l’allocation pour impotent s’ils ont uniquement besoin d’un accompagnement pour faire face aux nécessités de la vie.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Aux termes de l’al. 4 de cette disposition, dans le cas des mineurs, seul est pris en considération le surcroît d’aide et de surveillance que le mineur handicapé nécessite par rapport à un mineur du même âge en bonne santé. c) Selon une jurisprudence constante,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S’agissant des cas de mineurs, un simple décalage dans l’acquisition d’un acte ordinaire de la vie ne suffit pas pour prendre en considération le besoin d’aide dans cet acte (ch. 8086 CIIAI).L’impotence due à l’invalidité d’un mineur est au surplus évaluée selon les mêmes critères que celle d’un adulte (ch. 8087 CIIAI). Ne peut être pris en considération que le surcroît d’aide et de surveillance personnelle nécessaire par rapport aux mineurs du même âge ne souffrant d’aucun handicap, ainsi que l’indique expressément l’art. 37 al. 4 RAI mentionné supra. Plus l’âge d’un enfant est bas, plus il a besoin d’une aide conséquente et d’une certaine surveillance, même s’il est en parfaite santé (RCC 1986 p. 503 ; ch. 8088 CIIAI). L’importance des frais occasionnés par la prise en charge de l’enfant (présence constante de personnel soignant, usure du linge, etc.) constitue un critère supplémentaire d’appréciation (RCC 1986 p. 503 ; ch. 8089 CIIAI). d) Quant aux notions de besoin permanent de soins ou de surveillance, la jurisprudence les interprète de façon restrictive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5</w:t>
      </w:r>
    </w:p>
    <w:p>
      <w:r>
        <w:t>En l’espèce, la recourante estime remplir les conditions requises par l’art. 37 al. 3 let. a RAI, en ce sens qu’elle nécessiterait une aide d’autrui régulière et importante pour accomplir deux ou trois actes ordinaires de la vie. a) Pour se prononcer sur cette question, il convient de se référer au rapport d’enquête du 28 octobre 2014, lequel fait état exhaustivement des difficultés et empêchements de l’assurée, ainsi que de l’assistance requise par cette dernière, pour mener à bien l’accomplissement des actes courants de la vie quotidienne. Ce document, étayé et exempt de contradictions, satisfait manifestement aux réquisits jurisprudentiels énoncés supra sous considérant 3f pour se voir octroyer une pleine valeur probante et fonder l’examen du droit litigieux. Au demeurant, on remarque que les constats retranscrits par l’enquêtrice de l’OAI sont corroborés par les différentes appréciations médicales de la situation de l’assurée, telles que communiquées par les spécialistes du Centre hospitalier D.________. Le rapport d’enquête du 28 octobre 2014 reprend par ailleurs pour l’essentiel les propres déclarations de la recourante et les explications complémentaires de sa mère, lesquelles ont précisé les indications communiquées initialement au moyen du questionnaire adressé à l’OAI le 25 août 2015. Il n’y a ainsi pas lieu de compléter les pièces à disposition pour trancher le litige, ni d’ailleurs d’entendre la recourante, quand bien même elle a suggéré son audition dans ses écritures des 30 juillet 2015 et 26 août 2015. On rappellera certes que l’art. 61 let. c LPGA prescrit au juge d’établir les faits avec la collaboration des parties et d’administrer les preuves nécessaires, la jurisprudence ayant déduit de l'art. 29 al. 2 Cst. (Constitution fédérale de la Confédération suisse du 18 avril 1999 ;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(ATF 134 I 140 consid. 5.3 ; TF 8C_118/2011 du 9 novembre 2011 consid. 4.2.1 ; 9C_66/2011 du 4 octobre 2011 consid. 3.3). Etant donné la jurisprudence précitée, une appréciation anticipée des preuves permet d’écarter la suggestion de l’assurée en vue de son audition. On ne voit pas en effet qu’un tel complément soit de nature à apporter un éclairage différent sur les éléments rapportés par l’enquêtrice de l’OAI ou sur les bilans médicaux établis par ses spécialistes traitants. b) S’agissant singulièrement des différents actes ordinaires de la vie, il y a lieu de se rallier à la position de l’intimé, en ce qu’il a estimé en substance que les critères de régularité et d’importance du besoin d’aide alléguée n’étaient pas réalisés dans le cas de l’assurée. ba) Eu égard à l’acte « se vêtir », on observe que l’assurée s’habille pour l’essentiel seule, sous réserve de quelques difficultés à lacer ses chaussures, à fermer un bouton ou fixer une ceinture, pour lesquelles sa mère est susceptible de l’assister. Une vérification par cette dernière du bon ordre des vêtements a été également indiquée, alors même qu’il est précisé que l’assurée distingue généralement l’endroit de l’envers de ses vêtements. Partant, l’aide de la mère de la recourante, forcément ponctuelle, ne saurait être qualifiée de régulière et importante au sens entendu par l’art. 37 RAI, vu que l’assurée demeure capable de se vêtir de manière autonome la plupart du temps. En outre, du fait de l’amélioration de la motricité de son membre supérieur gauche, on ne voit pas de raison médicale objective à l’origine de difficultés en lien avec l’acte concerné. On notera d’ailleurs que les empêchements à ce titre, mentionnés jusqu’en décembre 2012 par la Dresse Q.________, n’ont pas été repris aux termes de son bilan du 12 novembre 2014. Indépendamment de ces remarques, il s’agit de relever que l’obligation de diminuer le dommage rend de toute façon exigible le port de chaussures et de vêtements adaptés au handicap de l’assurée, telles que des chaussures à velcro – qu’elle a déclaré spontanément priviliégier – et des vêtements sans boutons (cf. sur cette question notamment TF 8C_437/2009 du 3 décembre 2009 consid. 5.4). bb) Quant à l’acte « manger », il est fait état d’un besoin d’aide essentiellement pour couper les viandes dures, ce qui ressort systématiquement des différents rapports médicaux de la Dresse Q.________. Ainsi que l’a admis la mère de la recourante au cours de l’enquête du 24 octobre 2014, l’assistance n’est toutefois pas requise pour tous les repas, ce qui exclut manifestement la réalisation des critères de régularité et d’importance imposés par l’art. 37 RAI. Par ailleurs, on peut relever que l’assurée, dotée de couverts spéciaux destinés à atténuer les conséquences de son handicap, ne les utilise pas, contrairement à son obligation de réduire le dommage (cf. sur l’obligation d’utiliser des moyens auxiliaires notamment TF 9C_525/2014 du 18 août 2014 consid. 6.3 et 9C_346/2013 du 22 janvier 2014 consid. 4). Il lui incombe toutefois d’en poursuivre l’usage afin de pouvoir trancher les aliments plus facilement, ce qui exclut la prise en considération de toute difficulté pour l’accomplissement de l’acte en question. bc) Relativement aux soins corporels, la recourante a indiqué lors de l’enquête du 24 octobre 2014 être autonome pour se laver les dents, contrairement à ce qu’elle avait relevé sur le questionnaire complété le 25 août 2014. Elle a cela étant confirmé oublier parfois de se coiffer l’arrière de la tête, sans toutefois qu’une telle omission ne puisse être qualifiée d’incapacité à se coiffer correctement. Au demeurant, le fait d’avoir des difficultés occasionnelles à se coiffer ne constitue pas une impotence, ce conformément à la jurisprudence rendue en lien avec cette fonction (cf. sur ce sujet TF 9C_168/2011 du 27 décembre 2011 consid. 3.6 et référence citée). En outre, la recourante a fait valoir des difficultés pour laver le côté gauche du corps en raison de la lourdeur du pommeau de douche, ce qui ne saurait davantage être retenu dans le contexte de l’application de l’art. 37 RAI. On pourrait concevoir, à l’instar de ce qu’a retenu l’enquêtrice de l’OAI, qu’un support de douche soit installé ce qui éviterait à l’assurée de devoir tenir le pommeau de douche. Une installation de ce type répond d’ailleurs à l’obligation de diminuer le dommage incombant à tout assuré. Cette obligation englobe en effet l’utilisation de moyens auxiliaires ad hoc, quelle que soit l’importance de l’atteinte à la santé (cf. jurisprudence citée supra sous considérant 4b/bb). On ajoutera par ailleurs que si les difficultés alléguées pour le compte de l’assurée concernant la douche et les soins corporels avaient été évoquées par la Dresse Q.________ par le passé, son bilan du 12 novembre 2014 n’en fait plus état, ce qui justifie d’autant d’écarter tout besoin d’assistance dans l’accomplissement de cet acte. bd) Concernant l’acte « aller aux toilettes », il a été retenu que l’assurée l’effectuait seule, sous réserve d’une aide de sa mère pour veiller et procéder à son hygiène intime lorsqu’elle allait à selles. A défaut, la mère de la recourante a souligné que les sous-vêtements de l’assurée pouvaient être souillés. Si ces restrictions à l’accomplissement de la fonction en cause ont été également évoquées par les médecins traitants de l’assurée jusqu’à décembre 2012, ni ceux-ci, ni les pièces du dossier ne mettent en évidence une raison médicale ou morphologique de nature à expliquer les difficultés relatées. Etant donné que l’assurée est en mesure d’utiliser sa main droite pour procéder à son nettoyage intime, il ne paraît pas exister d’entrave sérieuse à une toilette adéquate du rectum . A toutes fins utiles on soulignera qu’il y a impotence lorsque l'assuré a besoin de l'aide d'un tiers pour vérifier son hygiène, se rhabiller ou l'aider pour s'asseoir ou se relever, ou plus particulièrement lorsqu'il faut procéder à une manière inhabituelle d'aller aux toilettes (par exemple apporter le vase de nuit et le vider, apporter un urinal, l'ajuster pour l'assuré, apporter une aide régulière pour uriner ; cf. TF 9C_633/2012 du 8 janvier 2013, consid. 4.2.2 in SVR 2013 IV n° 20 ; ch. 8021 CIIAI). Aussi, alors que l’assurée est en mesure d’accomplir l’acte « aller aux toilettes » de manière autonome, il n’y a aucune justification à l’assistance de sa mère, une impotence s’avérant a priori exclue de ce point de vue. be) Enfin, on ne peut retenir un besoin d’assistance pour l’acte « se déplacer et entretenir des contacts sociaux », l’assurée étant en mesure de se déplacer à l’extérieur de son domicile sans aucune entrave. Elle admet en effet être parfaitement capable de prendre les transports publics et se rendre seule à l’école. Quand bien même ses parents l’accompagnent pour tout déplacement inhabituel et s’assurent qu’elle traverse correctement la route, une assistance pour accomplir l’acte concerné s’apparente à une prudence particulière de la famille à l’égard de l’assurée, sans justification liée à un handicap fonctionnel. Par ailleurs, l’assurée a été unanimement décrite par ses médecins et par l’enquêtrice de l’OAI comme une jeune fille au contact adéquat, une timidité éventuelle n’étant à l’évidence pas suffisante pour requérir un soutien dans l’établissement de contacts sociaux. bf) Compte tenu de ce qui précède, il s’ensuit, quoi qu’en dise la recourante, que les conditions de l’art. 37 al. 3 let. a RAI ne sont pas réunies dans le cas d’espèce. c) On ajoutera que l’assurée ne se prévaut pas des situations alternatives prévues à l’art. 37 al. 3 let. b à d RAI, étant souligné qu’elle n’a manifestement pas besoin d’une surveillance ou de soins permanents dans le sens précisé par la jurisprudence fédérale et les directives administratives exposées au considérant 4d ci-avant. d) En définitive, force est de déduire que les conditions requises par l’art. 37 RAI ne sont pas réalisées en l’occurrence. C’est ainsi à bon droit que l’intimé a supprimé le droit de la recourante à une allocation pour impotent dans le délai prévu par l’art. 88bis al. 2 let. a RAI, aux termes de sa décision du 24 avril 2015.</w:t>
      </w:r>
    </w:p>
    <w:p>
      <w:r>
        <w:rPr>
          <w:b/>
        </w:rPr>
        <w:t>E. 6</w:t>
      </w:r>
    </w:p>
    <w:p>
      <w:r>
        <w:t>On ajoutera que faute d’avoir droit à une allocation pour impotent, la recourante ne saurait non plus prétendre le maintien d’un supplément pour soins intenses. Selon l’art. 42ter al. 3 LAVS, l’allocation versée aux mineurs impotents qui, en plus, ont besoin de soins intenses est augmentée d’un supplément pour soins intenses ; celui-ci n’est pas accordé lors d’un séjour en home. Compte tenu du caractère accessoire de cette prestation, qui peut être déduit de la lettre de la disposition précitée, l’OAI était incontestablement fondé à supprimer son versement en même temps que celui de l’allocation pour impotent.</w:t>
      </w:r>
    </w:p>
    <w:p>
      <w:r>
        <w:rPr>
          <w:b/>
        </w:rPr>
        <w:t>E. 7</w:t>
      </w:r>
    </w:p>
    <w:p>
      <w:r>
        <w:t>Vu l’ensemble des éléments qui précèdent, le recours, mal fondé, doit être rejeté, ce qui entraîne la confirmation de la décision rendue par l’OAI le 24 avril 2015.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mis à la charge de la recourante qui succombe. b)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