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75 vom 2. Dezember 2014</w:t>
      </w:r>
    </w:p>
    <w:p>
      <w:r>
        <w:t>VD Tribunal cantonal, 2014-12-02, FR</w:t>
      </w:r>
    </w:p>
    <w:p>
      <w:r>
        <w:rPr>
          <w:b/>
        </w:rPr>
        <w:t xml:space="preserve">Quelle: </w:t>
      </w:r>
      <w:r>
        <w:t>https://mcp.opencaselaw.ch/entscheid/vd_findinfo_Arr_t___2015___75</w:t>
      </w:r>
    </w:p>
    <w:p>
      <w:r>
        <w:t>FR: VD_FINDINFO Arrêt / 2015 / 75 du 2 décembre 2014</w:t>
      </w:r>
    </w:p>
    <w:p>
      <w:r>
        <w:t>IT: VD_FINDINFO Arrêt / 2015 / 75 del 2 dicembre 2014</w:t>
      </w:r>
    </w:p>
    <w:p>
      <w:pPr>
        <w:pStyle w:val="Heading2"/>
      </w:pPr>
      <w:r>
        <w:t>Regeste</w:t>
      </w:r>
    </w:p>
    <w:p>
      <w:r>
        <w:t>SUSPENSION DE LA PROCÉDURE, DROIT D'ÊTRE ENTENDU, MOTIVATION DE LA DÉCISION, AUTORISATION DE PROCÉDER, CURATEUR | 416 al. 1 ch. 9 CC, 29 al. 2 Cst., 126 al. 1 CPC (CH)</w:t>
      </w:r>
    </w:p>
    <w:p>
      <w:pPr>
        <w:pStyle w:val="Heading2"/>
      </w:pPr>
      <w:r>
        <w:t>Erwägungen</w:t>
      </w:r>
    </w:p>
    <w:p>
      <w:r>
        <w:rPr>
          <w:b/>
        </w:rPr>
        <w:t>E. 1</w:t>
      </w:r>
    </w:p>
    <w:p>
      <w:r>
        <w:t>Le recours est dirigé contre une décision de la justice de paix autorisant  le curateur à plaider et transiger au sens de l'art. 416 al. 1 ch. 9 CC (Code civil du 10 décembre 1907, RS 210) au nom de A.W.________ dans le cadre de la procédure en action alimentaire au sens des art. 328 ss CC à introduire à l'encontre de ses enfants, l'invitant, cas échéant, à requérir l'assistance judiciaire.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La qualité de proche n'exige pas nécessairement la sauvegarde des intérêts de la personne concernée ; les proches peuvent également figurer parmi les personnes elles-mêmes touchées (Steck, Commentaire du droit de la famille, Protection de l’adulte, Berne 2013, nn. 25 s. ad art. 450 CC, p. 917). Le recours doit être dûment motivé et interjeté par écrit (art. 450 al. 3 CC), les exigences de motivation ne devant cependant pas être trop élevées (Steck, Basler Kommentar,</w:t>
      </w:r>
    </w:p>
    <w:p>
      <w:r>
        <w:rPr>
          <w:b/>
        </w:rPr>
        <w:t>E. 5</w:t>
      </w:r>
    </w:p>
    <w:p>
      <w:r>
        <w:t>a) Le recours de L.________ et B.W.________ doit donc être rejeté et la décision entreprise confirmée. b) Les frais judiciaires de deuxième instance peuvent être fixés à 200 fr. (art. 74a al. 1 TFJC [tarif du 28 septembre 2010 des frais judiciaires civils, RSV 270.11.5]) et doivent être mis à la charge des recourants qui succombent (art. 106 al. 1 CPC, applicable par renvoi des art. 450f CC et 12 LVPAE), solidairement entre eux. Par ces motifs, la Chambre des curatelles du Tribunal cantonal, statuant à huis clos, prononce : I. Le recours est rejeté. II. La décision est confirmée. III. Les frais judiciaires de deuxième instance, arrêtés à 200 fr. (deux cents francs), sont mis à la charge des recourants L.________ et B.W.________, solidairement entre eux. IV. L'arrêt motivé est exécutoire. La présidente :              La greffière : Du 2 décembre 2014 Le dispositif de l'arrêt qui précède est communiqué par écrit aux intéressés. La greffière : Du L'arrêt qui précède, dont la rédaction a été approuvée à huis clos, est notifié à : ‑ Me Alexandre Kirschmann (pour Mme L.________ et M. B.W.________), - Mme A.W.________, personnellement, - M. D.________, assistant social auprès de l'Office des curatelles et tutelles professionnelles, et communiqué à : ‑ [...], Juge de paix du district de la Broye-Vully,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