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519 vom 23. Juli 2015</w:t>
      </w:r>
    </w:p>
    <w:p>
      <w:r>
        <w:t>VD Tribunal cantonal, 2015-07-23, FR</w:t>
      </w:r>
    </w:p>
    <w:p>
      <w:r>
        <w:rPr>
          <w:b/>
        </w:rPr>
        <w:t xml:space="preserve">Quelle: </w:t>
      </w:r>
      <w:r>
        <w:t>https://mcp.opencaselaw.ch/entscheid/vd_findinfo_Arr_t___2015___519</w:t>
      </w:r>
    </w:p>
    <w:p>
      <w:r>
        <w:t>FR: VD_FINDINFO Arrêt / 2015 / 519 du 23 juillet 2015</w:t>
      </w:r>
    </w:p>
    <w:p>
      <w:r>
        <w:t>IT: VD_FINDINFO Arrêt / 2015 / 519 del 23 luglio 2015</w:t>
      </w:r>
    </w:p>
    <w:p>
      <w:pPr>
        <w:pStyle w:val="Heading2"/>
      </w:pPr>
      <w:r>
        <w:t>Regeste</w:t>
      </w:r>
    </w:p>
    <w:p>
      <w:r>
        <w:t>ÉVALUATION DE L'ATTEINTE À LA SANTÉ, TROUBLE SOMATOFORME DOULOUREUX, ATTEINTE À LA SANTÉ PHYSIQUE, CARCINOME, EXPERTISE MÉDICALE, EXPERTISE PLURIDISCIPLINAIRE, ÉVALUATION DE L'INCAPACITÉ DE TRAVAIL, ATTEINTE À LA SANTÉ PSYCHIQUE, DÉCISION DE RENVOI | 4 al. 1 LAI, 17 al. 1 LPGA, 44 LPGA, 6 LPGA, 7 al. 1 LPGA, 8 al. 1 LPGA</w:t>
      </w:r>
    </w:p>
    <w:p>
      <w:pPr>
        <w:pStyle w:val="Heading2"/>
      </w:pPr>
      <w:r>
        <w:t>Erwägungen</w:t>
      </w:r>
    </w:p>
    <w:p>
      <w:r>
        <w:rPr>
          <w:b/>
        </w:rPr>
        <w:t>E. 1</w:t>
      </w:r>
    </w:p>
    <w:p>
      <w:r>
        <w:t>Des mesures de réadaptation professionnelle sont parfaitement envisageables sur le plan médico-théorique, sous un angle psychiatrique. Toutefois, l’assuré s’estime lui-même incapable de suivre de telles mesures. Sur le plan psychiatrique, ce fait s’explique par la présence d’un trouble apparenté aux troubles somatoformes, qui se traduit par un comportement empêchant la mobilisation des ressources existantes et l’adaptation à un rythme de travail, et limitant l’aptitude à s’intégrer dans le tissu social.</w:t>
      </w:r>
    </w:p>
    <w:p>
      <w:r>
        <w:rPr>
          <w:b/>
        </w:rPr>
        <w:t>E. 2</w:t>
      </w:r>
    </w:p>
    <w:p>
      <w:r>
        <w:t>Non, des mesures médicales, des moyens auxiliaires ou une adaptation du poste de travail ne permettront pas d’améliorer la capacité de travail dans le poste de concierge professionnel occupé précédemment.</w:t>
      </w:r>
    </w:p>
    <w:p>
      <w:r>
        <w:rPr>
          <w:b/>
        </w:rPr>
        <w:t>E. 3</w:t>
      </w:r>
    </w:p>
    <w:p>
      <w:r>
        <w:t>a) Un assuré a droit à une rente AI, entre autres conditions, s’il présente un taux d’invalidité de 40% au moins (cf. art. 28 al. 1 let. c et al. 2 LAI). Pour évaluer le taux d’invalidité d’une personne qui aurait exercé sans atteinte à la santé une activité lucrative à plein temps, le revenu que cette personne aurait pu obtenir si elle n’était pas invalide est comparé avec celui qu’elle pourrait obtenir en exerçant l’activité qui peut raisonnablement être exigée d’elle après les traitements et les mesures de réadaptation sur un marché du travail équilibré (art. 16 LPGA et 28a al. 1 LAI).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L'invalidité est réputée survenue dès qu'elle est, par sa nature et sa gravité, propre à ouvrir droit aux prestations entrant en considération (art. 4 al. 2 LAI). b)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[Tribunal fédéral] 8C_364/2007 du 19 novembre 2007 consid. 3.2). Si l’administration estime que l'état de fait déterminant n'est pas suffisamment établi, ou qu'il existe des doutes sérieux quant à la valeur probante des éléments recueillis, elle doit mettre en œuvre les mesures nécessaires au complément de l'instruction (ATF 132 V 93 consid. 6.4). c)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références citées). En outre, les renseignements fournis par les médecins constituent une base importante pour apprécier la question de savoir quelle activité est encore raisonnablement exigible de la part de la personne assurée (ATF 125 V 256 consid. 4 ; 115 V 133 consid. 2 ; 114 V 310 consid. 3c ; 105 V 156 consid. 1 ; TFA [Tribunal fédéral des assurances] I 274/05 du 21 mars 2006 consid. 1.2 et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Pour conférer pleine valeur probante à un rapport médical, il importe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susmentionnés (ATF 125 V 351 consid. 3a).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 I 533/06 du 23 mai 2007 consid. 5.3). Si le juge entend s'écarter d'une expertise, il doit motiver sa décision et il ne saurait, sans motifs déterminants, substituer son appréciation à celle de l'expert, sous peine de tomber dans l'arbitraire (TFA I 64/05 du 19 septembre 2005 consid. 3.2). Lorsque le juge des assurances examine l'opportunité de procéder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(cf. TF U 571/06 du 29 mai 2007 consid. 4.2, in: SVR 2007 UV n° 33 p. 111 ; Ueli Kieser, ATSG-Kommentar, 2 ème éd. 2009, n. 12 et 17 ad art. 43 LPGA ; TF 9C_573/2010 du 8 août 2011 consid. 4.2). d) Puisque le présent litige s’inscrit dans le cadre de l’octroi d’une rente limitée dans le temps, il convient de rappeler les principes jurisprudentiels en la matière. Les règles et principes jurisprudentiels sur la révision du droit à une rente d'invalidité (art. 17 al. 1 LPGA; ATF 130 V 343 consid. 3.5; voir également ATF 133 V 545) sont applicables lorsque la décision de l'assurance-invalidité accordant une rente avec effet rétroactif prévoit en même temps la suppression de cette rente (ATF 131 V 164 consid. 2.2 ; 125 V 413 consid. 2d et les références ; TF 9C_737/2012 du 19 mars 2013 consid. 2.1). Aux termes de l’art. 17 al. 1 LPGA,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(cf. ATF 130 V 343 consid. 3.5). La rente peut être révisée en cas de modifications sensibles de l'état de santé ou lorsque celui-ci est resté le même mais que ses conséquences sur la capacité de gain ont subi un changement important (ATF 130 V 343 consid. 3.5 ; 113 V 273 consid. 1a ; ATF 112 V 371 consid. 2b, 387 consid. 1b). Le point de savoir si un tel changement s'est produit doit être tranché en comparant les faits tels qu'ils se présentaient lors de la décision initiale de rente et les circonstances régnant à l'époque de la décision litigieuse (ATF 130 V 343 consid. 3.5.2 ; 125 V 368 consid. 2 ; ATF 112 V 371 consid. 2b et 387 consid. 1b et les références ; TF 9C_441/2008 du 10 juin 2009 consid. 4.1).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(art. 88a al. 1 RAI [règlement du 17 janvier 1961 sur l'assurance-invalidité; RS 831.201]). Une simple appréciation différente d’un état de fait qui, pour l’essentiel, est demeuré inchangé n’appelle toutefois pas à une révision (ATF 112 V 371 consid. 2b ; TF 9C_795/2010 du 26 avril 2011 consid. 3.1). Il en va de même, si un changement important des circonstances n’est pas établi au degré de la vraisemblance prépondérante (TF 9C_273/2014 du 16 juin 2014 consid. 3.1.1 et la référence).</w:t>
      </w:r>
    </w:p>
    <w:p>
      <w:r>
        <w:rPr>
          <w:b/>
        </w:rPr>
        <w:t>E. 4</w:t>
      </w:r>
    </w:p>
    <w:p>
      <w:r>
        <w:t>En l’espèce, l’office intimé considère que l’expertise réalisée par le Dr F.________ satisfait aux réquisits jurisprudentiels pour se voir conférer pleine valeur probante. Dès lors, il s’est fondé en particulier sur les conclusions de ce médecin pour supprimer avec effet au 31 juillet 2012 la rente entière d’invalidité servie au recourant depuis le 1 er septembre 2011. S.________ conteste la valeur probante de l’expertise susmentionnée en faisant valoir que ses conclusions sont insuffisamment motivées et, partant, peu convaincantes. a) Si on ne saurait suivre le recourant lorsqu’il prétend que le Dr F.________ n’explique pas pour quel motif il a posé le diagnostic de trouble somatoforme, dans la mesure où cette atteinte, comme l’explique le Dr Z.________ dans son avis du 2 avril 2014, n’a pas été retenue par l’expert, force est toutefois de constater que son appréciation n’est pas exempte de toute critique, même s’il faut admettre que son rapport est en partie bien motivé. Dans son rapport du 3 octobre 2013, le Dr F.________ pose les diagnostics sans répercussion sur la capacité de travail de neurasthénie (F 48.0) et de majoration de symptômes physiques pour des raisons psychologiques (F 68.0), existant toutes deux depuis 2011 selon lui. Il explique que ce dernier diagnostic peut être retenu sur la base de la présence de symptômes physiques compatibles avec – et initialement dus à – un trouble, une maladie ou un handicap physique, mais amplifiés ou entretenus par l’état psychique, ainsi que de la présence d’une insatisfaction relative aux résultats du traitement ou des investigations et d’une déception quant à la qualité des soins médicaux (telle qu’elle est perçue). De même, il existerait un sentiment de détresse et une peur, compréhensible, d’une aggravation ou d’une récidive. Quant au tableau d’asthénie profonde, tant physique que psychique, il représente bien, selon l’expert, une neurasthénie. Il ajoute que les deux types de neurasthénie classiquement décrits, à savoir celle impliquant une fatigabilité mentale et celle se caractérisant par une faiblesse corporelle, sont présentes chez l’assuré. Néanmoins, on peine à comprendre la motivation ayant présidé à la fixation des diagnostics retenus, lorsque le Dr F.________ écrit ce qui suit : « Nos diagnostics peuvent paraître incongrus et difficiles à soutenir, dès lors que l’ensemble des faits à considérer surviennent dans le cadre d’une maladie cancéreuse bien réelle (et aggravée encore, dans le cas de l’assuré, par des complications psychosociales qui peuvent être difficiles « à digérer » pour tout un chacun). Nous nous y tenons cependant sur le plan médico-théorique (cf. l’ensemble des données cliniques). » De tels propos jettent un sérieux doute sur la pertinence des diagnostics posés, dont on relèvera au demeurant qu’ils sont discutés dans le paragraphe consacré au trouble somatoforme, lequel, comme relevé ci-avant, est finalement écarté par l’expert. b) S’agissant de la capacité de travail de l’assuré, l’expert Dr F.________ écrit que celle-ci est de 100% depuis le 26 septembre 2011 ou au moins depuis le 1 er mai 2012 (cf. p. 20 du rapport d’expertise). Quelques lignes plus bas, il écrit que la capacité de travail est de « 100% depuis le 26 septembre 2012 ou au moins depuis le 1 er mai 2005, sur le plan médico-théorique ». Finalement, en réponse aux questions posées par l’administration, il déclare que « pour la période jusqu’au 25 septembre 2011, ou au plus jusqu’au 30 avril 2013, on peut admettre que les causes amenant une incapacité de travail de 100% depuis le 1 er septembre 2010 étaient en partie psychiatriques (état dépressif réactionnel). » Si l’on peut à la rigueur admettre la présence d’une erreur de retranscription dans la saisie du texte dactylographié, force est de remarquer qu’elles excèdent ici ce nombre, ce qui rend peu intelligible l’appréciation du Dr F.________ quant à la période précise au cours de laquelle le recourant a présenté une capacité, respectivement une incapacité de travail. Au vrai, l’expert ne fournit aucune explication à propos de ces différences, ce qui ne contribue pas à lever l’incertitude qui subsiste sur ce point. A cela s’ajoute que, en se déterminant au sujet de la position de la Dresse U.________, le Dr F.________ s’exprime en ces termes (cf. p. 21 du rapport d’expertise) : « Mais nous relevons que les raisons qui fondent son évaluation sont à la fois physiques et psychiques, alors nous nous limitons à considérer les éventuelles limitations fonctionnelles psychiques à l’aune des critères actuels. » Ce faisant, l’expert laisse entendre que s’il avait dû retenir également des problèmes physiques – comme l’aurait fait à son avis la Dresse U.________ – et non pas seulement psychiques, une autre appréciation de la capacité de travail aurait pu se justifier. Des éléments qui précèdent, il ressort que l’estimation de la capacité de travail faite par le Dr F.________, d’une part, repose sur des indications confuses et, d’autre part, pourrait faire l’objet d’une nouvelle évaluation si des troubles physiques étaient pris en considération. Dans ces conditions, il apparaît que l’appréciation de l’expert quant à la capacité de travail de l’assuré n’est pas de nature à emporter la conviction. c) Cela étant, le Dr F.________ relève qu’au plan psychique et mental, il n’existe pas de limitation qualitative et quantitative en rapport avec un trouble pouvant avoir valeur de maladie invalidante. Son appréciation diverge ainsi de celle de la Dresse U.________ quant à la sévérité des troubles psychiques présentés lesquels, d’un point de vue médico-théorique, font selon cette dernière obstacle à toute capacité résiduelle de travail, depuis le 1 er août 2012 à tout le moins. Toutefois, tant l’expert Dr F.________ que la psychiatre traitante conviennent que le recourant présente des problèmes psychiques depuis le début de l’âge adulte. A cet égard, la Dresse U.________ diagnostique dans son rapport du 23 avril 2012 un trouble de la personnalité non spécifié avec des traits paranoïaques (F 60.9) existant depuis cette période. Le 27 mars 2013, elle diagnostique une personnalité paranoïaque (F 60.0) apparue au début de l’âge adulte. De même, l’expert note que les traits de personnalité problématiques sont présents depuis le début de l’âge adulte (cf. p. 19 du rapport d’expertise). Ils n’ont toutefois pas empêché le recourant de travailler même si le Dr F.________ laisse entendre l’existence de difficultés relationnelles dans le cadre de son activité professionnelle, imputables à des troubles affectant la personnalité et le comportement. Il s’ensuit que l’on ne peut pas se fonder uniquement sur les troubles psychiques présentés par l’assuré pour retenir, au degré de la vraisemblance prépondérante, l’existence d’une éventuelle incapacité de travail. Dans ce sens, on rappellera que le Dr F.________ n’écarte pas l’hypothèse d’une remise en cause de son appréciation de la capacité de travail si des éléments physiques étaient pris en considération. Il observe en effet que la situation de l’assuré révèle « un téléscopage entre les plans physique, psychique et psychosocial ». En l’occurrence, la Dresse U.________ fait en particulier allusion aux difficultés rencontrées par l’assuré en ce qui concerne sa situation matérielle et le soutien dont lui-même et son épouse font l’objet de la part des services sociaux. Les facteurs psycho-sociaux ne relèvent toutefois pas de l’assurance-invalidité (cf. TF 9C_700/2009 du 29 mars 2010 consid. 4.2.4.3 et la référence). Ensuite, même si la Dresse U.________ ne pose pas de diagnostic somatique (hormis celui de carcinome épidermoïde de l’amygdale droite), elle retient notamment à titre de restrictions physiques des douleurs cervicales consécutives à la radiothérapie entraînant une rigidité des épaules et de la nuque (cf. rapports du 23 avril 2012 et du 27 mars 2013). Sur le plan physique, il y a toutefois un élément dont font état tous les médecins ayant examiné l’assuré, c’est celui d’une fatigue, respectivement d’une asthénie. Si seul le Dr D.________ retient cette dernière à titre de diagnostic affectant la capacité de travail (cf. rapport du 14 décembre 2011), les Drs B.________ et X.________ en soulignent l’incidence sur l’aptitude de l’assuré à exercer une activité professionnelle. Quant à la Dresse K.________, elle relève également une fatigue importante (« fatigue ++ ») même si elle laisse au Dr D.________ le soin de se prononcer sur l’incapacité de travail (cf. rapport du 20 décembre 2011). De leur côté, tant la Dresse U.________ que le Dr F.________ mentionnent également une fatigue et une asthénie. Parmi les praticiens prénommés, seuls les Drs K.________ et F.________ ne lui attribuent pas expressément d’impact sur la capacité de travail. Leur avis respectif doit cependant être relativisé, dans la mesure où la Dresse K.________ renvoie à l’appréciation du Dr D.________ sur ce point. Quant à l’expert Dr F.________, il n’exclut pas que des facteurs somatiques puissent remettre en question son évaluation de la capacité de travail. Le fait que l’existence d’une fatigue et/ou d’une asthénie ait fait l’objet d’un consensus parmi le corps médical peut expliquer que l’office AI ait admis qu’elle puisse figurer au nombre des limitations fonctionnelles entrant en ligne de compte dans la détermination d’une activité exigible. Mais on peine à comprendre dans quelle mesure cette fatigue est alors susceptible de constituer une limitation fonctionnelle puisque l’intimé retient par ailleurs une capacité de travail entière sans perte de rendement. d) Il est constant que l’assuré a souffert d’un carcinome épidermoïde de l’amygdale droite, lequel a eu des répercussions sur son état de santé psychique puisque c’est dans ce contexte qu’il a été amené à consulter dès le 4 décembre 2011 la Dresse U.________. Il est en outre notoire que la plupart des patients atteints d’un cancer souffre d’une fatigue causée par les différentes mesures thérapeutiques auxquelles le traitement de la maladie les expose (cf. ATF 139 V 346 consid. 3.2). Dans cet arrêt, le Tribunal fédéral explique que les principes concernant le caractère surmontable de la douleur au sens de la jurisprudence relative aux troubles somatoformes douloureux, exposée à l’arrêt ATF 130 V 352, ne sont pas applicables par analogie pour trancher la question des effets invalidants d’une fatigue liée à un cancer (« cancer-related fatigue »). En d’autres termes, une valeur incapacitante peut, à certaines conditions, être reconnue à cette dernière. Il n’est toutefois pas nécessaire qu’une telle fatigue perdure même si le Tribunal fédéral a admis que, dans 30 à 40% des cas, elle pouvait subsister encore un certain temps après la fin de la thérapie (cf. ATF 139 V 346 consid. 3.3). Il a ainsi admis qu’elle pouvait avoir disparu, lorsque des éléments cliniques susceptibles de l’attester font défaut (cf. TF 9C_122/2014 du 11 septembre 2014 et 8C_909/2013 du 14 juillet 2014). Dans le cas présent, on constate que la question d’une fatigue liée au cancer n’a pas été spécifiquement analysée. On ignore donc si l’assuré présente toujours un tel trouble et, le cas échéant, s’il est de nature à influencer sa capacité de travail. C’est le lieu de rappeler ici que les médecins du Service d’ORL de l’Hôpital M.________ ont renvoyé l’intimé à l’appréciation du Dr D.________ (cf. le rapport du 4 octobre 2011 de la Dresse X.________ et celui du 20 décembre 2011 de la Dresse K.________). Ceci s’explique peut-être par le fait que l’assuré présentait des troubles de la sphère psychique (toutes deux évoquent du reste la présence d’une détresse psychologique) et qu’il n’était alors suivi que de manière épisodique au sein du service précité. Quoi qu’il en soit, le Dr D.________ avait estimé, dans un premier temps, que la reprise d’une activité professionnelle était envisageable (cf. rapport du 16 février 2011) avant de se raviser et d’exclure toute capacité de travail en raison des troubles psychiques présentés (cf. rapport du 14 décembre 2011). Il n’a par la suite plus été sollicité, seule la Dresse U.________ ayant été interpellée à ce sujet par l’office intimé. Celui-ci a commencé par suivre l’appréciation de la psychiatre traitante s’agissant de la capacité de travail du recourant. Il a en effet proposé, par l’intermédiaire de l’avis de son SMR du 7 septembre 2012, d’attendre le mois de février 2013 avant de réévaluer la situation, au motif que l’état de santé de l’intéressé n’était pas stabilisé. Il s’en est par la suite écarté pour lui reconnaître une capacité de travail entière à compter du 1 er mai 2012. Un tel revirement ne peut s’expliquer que par les conclusions de l’expertise du Dr F.________, dont les faiblesses ont été mises en évidence ci-avant (cf. consid. 4a, 4b et 4c supra). En tout état de cause, l’appréciation – fondée sur une motivation on ne peut plus succincte – de l’office intimé ne saurait emporter la conviction, faute de reposer sur des éléments suffisamment étayés. e) En résumé, il résulte des considérants qui précèdent qu’il ne saurait être accordé de valeur probante à l’expertise du Dr F.________ et que l’instruction à laquelle a procédé l’office intimé est incomplète, dans la mesure où le dossier tel que constitué ne contient aucune analyse médicale de la fatigabilité, respectivement de l’asthénie, présentée par le recourant.</w:t>
      </w:r>
    </w:p>
    <w:p>
      <w:r>
        <w:rPr>
          <w:b/>
        </w:rPr>
        <w:t>E. 5</w:t>
      </w:r>
    </w:p>
    <w:p>
      <w:r>
        <w:t>Ainsi, en présence d’une instruction lacunaire et non d’un seul conflit d’avis médicaux – au demeurant dénués de valeur probante au sens de la jurisprudence rappelée plus haut (cf. consid. 3c supra) – imposant une surexpertise, il y a lieu de renvoyer la cause à l’office AI afin qu’il fasse effectuer, sous la forme d’une expertise pluridisciplinaire au sens de l’art. 44 LPGA comprenant à tout le moins un examen de médecine interne et un volet psychiatrique, voire oncologique, rhumatologique ou autre, une nouvelle évaluation de la capacité de travail et du rendement exigible du recourant dans ses activités habituelles de chauffeur-livreur et de concierge ainsi que dans une activité adaptée, à l’aune des affections constatées et des limitations qu’elles entraînent. On ajoutera que le Tribunal fédéral a précisé qu’un renvoi à l’administration était en principe possible lorsqu’il s’agit de trancher une question qui n’a jusqu’alors fait l’objet d’aucun éclaircissement, ou lorsqu’il s’agit d’obtenir une clarification, une précision ou un complément quant à l’avis des experts interpellés par l’autorité administrative (ATF 139 V 99 consid. 1.1 et la référence ; TF 8C_932/2014 du 13 avril 2015 consid. 3.2). En outre, selon les constatations au sujet de la capacité de travail et de gain dans l’activité habituelle, l’intimé devra évaluer la capacité de travail et de gain dans des activités adaptées afin de déterminer le taux d’invalidité conformément à l’art. 16 LPGA. Au cas où les experts envisageraient les diagnostics de troubles somatoformes douloureux ou d’autres affections assimilées, il est retenu ce qui suit : Selon une toute récente jurisprudence modifiant explicitement la précédente, il est renoncé à la présomption du caractère surmontable de la douleur  (TF 9C_492/2014 du 3 juin 2015, destiné à la publication aux ATF ; commenté par Thomas Gächter/Michael E. Meier, Schmerzrechtsprechung 2.0, Jusletter du 29 juin 2015). Désormais, le Tribunal fédéral exige une procédure d’établissement des faits structurée. La capacité de travail réellement exigible de la personne concernée doit être évaluée sur la base d’une vision d’ensemble, à la lumière des circonstances du cas particulier et sans résultat prédéfini. Cette évaluation doit se dérouler sur la base d’un catalogue d’indices qui rassemblent les éléments essentiels propres aux troubles de nature psychosomatique (cf. TF cité consid. 3.6 et 4 pour le catalogue d’indices). Eu égard aux indices retenus, il conviendra, plus qu’avant, de tenir compte des effets de l’atteinte à la santé sur les aptitudes de la personne concernée à exercer son travail et les fonctions de sa vie quotidienne. La phase diagnostic devra mieux prendre en considération le fait qu’un diagnostic de « trouble somatoforme »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Le Tribunal fédéral a invité les Sociétés médicales à reformuler ses lignes directrices et recommandations pour les expertises médicales afin de concrétiser les indices qu’il a retenus. Selon la Haute Cour, on trouve de telles directives depuis longtemps en Allemagne (TF cité consid. 5.1.2). Le Tribunal fédéral a néanmoins relevé que cette nouvelle jurisprudence ne modifie en rien l’exigence légale selon laquelle il ne saurait y avoir incapacité de gain propre à entraîner une invalidité que si celle-ci n’est pas objectivement surmontable. De plus, même si des motifs psychosociaux – tels que l’intégration en Suisse – peuvent dans une certaine mesure jouer un rôle dans l’appréciation globale, une invalidité de travail ne saurait toujours pas être basée sur de tels motifs en soi (TF cité consid. 3.7.1 et 4.3.3 avec renvoi à l’ATF 127 V 294 consid. 5a).</w:t>
      </w:r>
    </w:p>
    <w:p>
      <w:r>
        <w:rPr>
          <w:b/>
        </w:rPr>
        <w:t>E. 6</w:t>
      </w:r>
    </w:p>
    <w:p>
      <w:r>
        <w:t>En définitive, le recours se révèle bien fondé et doit donc être admis, ce qui entraîne l’annulation de la décision rendue par l’office AI le 4 juillet 2014, la cause lui étant renvoyée pour complément d’instruction et nouvelle décision au sens des considérants.</w:t>
      </w:r>
    </w:p>
    <w:p>
      <w:r>
        <w:rPr>
          <w:b/>
        </w:rPr>
        <w:t>E. 7</w:t>
      </w:r>
    </w:p>
    <w:p>
      <w:r>
        <w:t>Ayant procédé par l’intermédiaire d’une avocate du Service juridique de Procap, qui peut se voir accorder des dépens, le recourant, qui obtient gain de cause, a droit à une indemnité de dépens qu’il convient, compte tenu notamment de l’importance et de la complexité du litige, de fixer à 1'400 fr. à la charge de l’office intimé (art. 61 let. g LPGA et 55 LPA-VD) lequel, débouté, supportera les frais de la cause, arrêtés à 400 fr. (art. 69 al. 1 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