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 vom 21. November 2014</w:t>
      </w:r>
    </w:p>
    <w:p>
      <w:r>
        <w:t>VD Tribunal cantonal, 2014-11-21, FR</w:t>
      </w:r>
    </w:p>
    <w:p>
      <w:r>
        <w:rPr>
          <w:b/>
        </w:rPr>
        <w:t xml:space="preserve">Quelle: </w:t>
      </w:r>
      <w:r>
        <w:t>https://mcp.opencaselaw.ch/entscheid/vd_findinfo_Arr_t___2015___5</w:t>
      </w:r>
    </w:p>
    <w:p>
      <w:r>
        <w:t>FR: VD_FINDINFO Arrêt / 2015 / 5 du 21 novembre 2014</w:t>
      </w:r>
    </w:p>
    <w:p>
      <w:r>
        <w:t>IT: VD_FINDINFO Arrêt / 2015 / 5 del 21 novembre 2014</w:t>
      </w:r>
    </w:p>
    <w:p>
      <w:pPr>
        <w:pStyle w:val="Heading2"/>
      </w:pPr>
      <w:r>
        <w:t>Regeste</w:t>
      </w:r>
    </w:p>
    <w:p>
      <w:r>
        <w:t>FRAIS JUDICIAIRES, RÉPARTITION DES FRAIS, DROIT DE LA FAMILLE | 106 al. 1 CPC (CH), 107 al. 1 let. c CPC (CH)</w:t>
      </w:r>
    </w:p>
    <w:p>
      <w:pPr>
        <w:pStyle w:val="Heading2"/>
      </w:pPr>
      <w:r>
        <w:t>Erwägungen</w:t>
      </w:r>
    </w:p>
    <w:p>
      <w:r>
        <w:rPr>
          <w:b/>
        </w:rPr>
        <w:t>E. 1</w:t>
      </w:r>
    </w:p>
    <w:p>
      <w:r>
        <w:t>a) Le recours est dirigé contre une décision de la justice de paix mettant les frais de la cause, par 1'000 fr. à la charge des parents de l'enfant à raison d'une moitié chacun.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c) En l’espèce, le recours, motivé et interjeté en temps utile par le père du mineur concerné, chargé de la moitié des frais de la cause, est recevable. Le recours étant manifestement mal fondé au vu des considérations qui seront développées ci-après, la mère n’a pas été invitée à se déterminer (art. 312 al. 1 CPC [Code de procédure civile du 19 décembre 2008, RS 272], applicable par renvoi de l'art. 450f CC) et il a été renoncé à consulter l'autorité de protection (art. 450d al. 1 CC; Reusser, Basler Kommentar, op. cit., nn. 6 ss ad art. 450d CC, pp. 657 s.).</w:t>
      </w:r>
    </w:p>
    <w:p>
      <w:r>
        <w:rPr>
          <w:b/>
        </w:rPr>
        <w:t>E. 2</w:t>
      </w:r>
    </w:p>
    <w:p>
      <w:r>
        <w:t>a) Le recourant soutient que son droit d'être entendu a été violé du fait que les premiers juges n'ont pas motivé la décision du 19 septembre 2014 s'agissant des frais judicaires et des dépens. b) Le droit d'être entendu est une garantie de nature formelle, dont la violation entraîne l'annulation de la décision attaquée sans égard aux chances de succès du recours sur le fond (ATF 137 I 195 c. 2.2; ATF 135 I 279 c. 2.6.1). Ce moyen doit par conséquent être examiné en premier lieu (ATF 124 I 49 c. 1; ATF 121 I 230 c. 2a) et avec un plein pouvoir d'examen (ATF 127 III 193 c. 3 et la jurisprudence citée). Tel qu'il est garanti par l'art. 29 al. 2 Cst. (Constitution fédérale de la Confédération suisse du 18 avril 1999, RS 101), le droit d'être entendu implique notamment l'obligation de motiver les décisions. Il suffit toutefois que le juge mentionne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(TF 4A_543/2013 du 13 février 2014 c. 2; ATF 133 III 439 c. 3.3).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 2.3.2; ATF 133 I 201 c. 2.2; ATF 129 I 129 c. 2.2.3). c) En l'espèce, la question des frais n'a en effet pas fait l'objet d'une motivation particulière. Le recourant a toutefois eu la possibilité de faire valoir ses arguments devant l'autorité de céans, laquelle dispose du même pouvoir d'examen que la justice de paix. Ainsi, si violation du droit d'être entendu il y a eu, celle-ci a été réparée en deuxième instance conformément à la jurisprudence précitée.</w:t>
      </w:r>
    </w:p>
    <w:p>
      <w:r>
        <w:rPr>
          <w:b/>
        </w:rPr>
        <w:t>E. 3</w:t>
      </w:r>
    </w:p>
    <w:p>
      <w:r>
        <w:t>a) Le recourant conteste également la répartition par moitié des frais judiciaires et l'absence d'allocation de dépens en sa faveur, soutenant avoir obtenu gain de cause en première instance. b) La réglementation des frais et dépens relève de la compétence cantonale (ATF 140 III 385 c. 2.3). Selon l’art. 450f CC, si les cantons n’en disposent pas autrement, les dispositions de la procédure civile s’appliquent par analogie. Si la LVPAE règle la question des frais en matière de mesures limitant l’exercice de l’autorité parentale (art. 38 LVPAE), elle est muette en ce qui concerne les frais des procédures relatives à la fixation des relations personnelles. Il convient ainsi de se référer aux art. 106 ss CPC. Selon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(CREC 5 mai 2014/161 c. 4). Le Tribunal fédéral a considéré qu’en matière de droit de famille, aucune règle n’imposait à l’autorité cantonale de répartir les frais judiciaires en fonction de la prétendue importance des griefs sur lesquels chaque partie a obtenu gain de cause (TF 5A_261/2013 du 19 septembre 2013 c. 3.5). Il a par ailleurs considéré qu’il n’était pas arbitraire de répartir les frais par moitié et de ne pas allouer de dépens dans un litige relatif pour l’essentiel au sort et à l’attribution des enfants, indépendamment du gain du procès (TF 5A_321/2014 du 20 août 2014 c. 2.3). c) En l’espèce, la procédure, particulièrement conflictuelle, a donné lieu à de nombreuses requêtes de mesures provisionnelles et préprovisionnelles, les parties n’hésitant pas à recourir jusqu’au Tribunal fédéral. Certaines requêtes de mesures préprovisionnelles du requérant ont été rejetées, d’autres admises. La requête du 19 décembre 2013 tendait initialement à ce que le droit de visite de A.W.________ s’exerce un week-end sur deux du vendredi 12h00 au dimanche 18h00, plutôt que depuis le vendredi 13h30 comme résultant du jugement de divorce. Il y a également eu un accord des parties sur certaines questions, tel que le planning des visites pour l'année 2014 lors de l’audience du 24 janvier 2014. Dans une ordonnance du 5 février 2014, la juge de paix n’a admis que partiellement les requêtes de mesures provisionnelles déposées les 19 décembre 2013, 8 et 24 janvier 2014 par A.W.________, les frais de la procédure provisionnelle suivant le sort de la cause. Il y a ensuite eu un litige concernant la remise de la carte d’identité de C.W.________, ses habits de rechange, ainsi que l'établissement d’un passeport en sa faveur, où le requérant a obtenu gain de cause par ordonnance de mesures provisionnelles du 17 avril 2014, les frais de la procédure suivant le sort de la cause. Un autre litige a opposé les parties concernant la remise de la carte d’identité ou du passeport biométrique de l'enfant sous menace de l’art. 292 CP. Par ordonnance de mesures superprovisionnelles du 6 juin 2014, la juge de paix a partiellement admis la requête de A.W.________, en ce sens qu'elle a donné l'ordre à B.W.________ de remettre à ce dernier la carte d’identité ou le passeport biométrique de l’enfant avant l'exercice de son droit de visite, étant précisé qu’il appartenait aux parents de fixer les modalités de l’échange. N'ayant pas obtenu dans le cadre provisionnel que l’ordre de remise des papiers d'identité soit assorti de la menace de l’art. 292 CP, A.W.________ a recouru en vain jusqu'au Tribunal fédéral sur cette question. Dans sa décision au fond, la justice de paix n’a admis que partiellement les conclusions de A.W.________, étant donné qu'elle a confirmé son refus d’assortir l’ordre de remise de la carte d'identité ou du passeport biométrique de la menace de l’art. 292 CP. Certes le recourant a obtenu gain de cause sur l'extension de son droit de visite, mais la modification était de minime importance. S'agissant de la question du planning 2014, les parties sont en revanche parvenues à un accord. Quant à la remise de la carte d'identité ou du passeport biométrique avant chaque exercice du droit de visite, A.W.________ n'a pas obtenu entièrement gain de cause étant donné que la justice de paix a refusé d'assortir l'ordre de la menace de l’art. 292 CP. Ainsi, compte tenu de ce qui précède et du fait qu'il s'agit d’un litige du droit de la famille relatif au sort de l’enfant, plus particulièrement à l’exercice des relations personnelles, la répartition des frais par moitié sans allocation de dépens peut être confirmée, l'appréciation des premiers juges ne prêtant pas le flanc à la critique.</w:t>
      </w:r>
    </w:p>
    <w:p>
      <w:r>
        <w:rPr>
          <w:b/>
        </w:rPr>
        <w:t>E. 4</w:t>
      </w:r>
    </w:p>
    <w:p>
      <w:r>
        <w:t>a) En conclusion, le recours interjeté par A.W.________ doit être rejeté et la décision entreprise confirmée. Le présent arrêt peut être rendu sans frais judiciaires (art. 74a al. 4 TFJC [tarif du 28 septembre 2010 des frais judiciaires civils, RSV 270.11.5]). b) Le recourant a requis le bénéfice de l'assistance judiciaire pour la procédure de recours. Au regard de l'art. 117 let. b CPC, applicable par renvoi de l'art. 450f CC, sa requête doit être rejetée. En effet, le recours apparaît d'emblée dépourvu de chances de succès, le recourant soutenant avoir obtenu totalement gain de cause, alors qu'il avait clairement succombé s'agissant de la question d'assortir l'ordre de remise de la carte d'identité ou du passeport biométrique avant chaque exercice du droit de visite de la menace de l’art. 292 CP. Par ces motifs, la Chambre des curatelles du Tribunal cantonal, statuant à huis clos, prononce : I. Le recours est rejeté. II. La décision est confirmée. III. La requête d'assistance judiciaire du recourant A.W.________ est rejetée. IV. L'arrêt est rendu sans frais. V. L'arrêt motivé est exécutoire. La présidente :              La greffière : Du 21 novembre 2014 Le dispositif de l'arrêt qui précède est communiqué par écrit aux intéressés. La greffière : Du L'arrêt qui précède, dont la rédaction a été approuvée à huis clos, est notifié à : - Me Laurent Schuler (pour A.W.________), - Me Alain Thévenaz (pour B.W.________), et communiqué à : ‑              Justice de paix du district de Nyon,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